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F3867F" w14:textId="77777777" w:rsidR="00D01AA6" w:rsidRDefault="00D01AA6">
      <w:pPr>
        <w:spacing w:line="600" w:lineRule="exact"/>
        <w:jc w:val="center"/>
        <w:outlineLvl w:val="0"/>
        <w:rPr>
          <w:rFonts w:ascii="方正小标宋简体" w:eastAsia="方正小标宋简体" w:hAnsi="宋体"/>
          <w:sz w:val="72"/>
          <w:szCs w:val="72"/>
        </w:rPr>
      </w:pPr>
      <w:bookmarkStart w:id="0" w:name="_Toc15377193"/>
      <w:bookmarkStart w:id="1" w:name="_Toc15396597"/>
      <w:bookmarkStart w:id="2" w:name="_Toc15377425"/>
      <w:bookmarkStart w:id="3" w:name="_Toc15378441"/>
      <w:bookmarkStart w:id="4" w:name="_Toc15396475"/>
      <w:bookmarkStart w:id="5" w:name="_Toc15306267"/>
    </w:p>
    <w:p w14:paraId="6B7B9DC3" w14:textId="77777777" w:rsidR="00D01AA6" w:rsidRDefault="00D01AA6">
      <w:pPr>
        <w:spacing w:line="600" w:lineRule="exact"/>
        <w:jc w:val="center"/>
        <w:outlineLvl w:val="0"/>
        <w:rPr>
          <w:rFonts w:ascii="方正小标宋简体" w:eastAsia="方正小标宋简体" w:hAnsi="宋体"/>
          <w:sz w:val="72"/>
          <w:szCs w:val="72"/>
        </w:rPr>
      </w:pPr>
    </w:p>
    <w:p w14:paraId="006023C6" w14:textId="77777777" w:rsidR="00D01AA6" w:rsidRDefault="00D01AA6">
      <w:pPr>
        <w:spacing w:line="600" w:lineRule="exact"/>
        <w:jc w:val="center"/>
        <w:outlineLvl w:val="0"/>
        <w:rPr>
          <w:rFonts w:ascii="方正小标宋简体" w:eastAsia="方正小标宋简体" w:hAnsi="宋体"/>
          <w:sz w:val="72"/>
          <w:szCs w:val="72"/>
        </w:rPr>
      </w:pPr>
    </w:p>
    <w:p w14:paraId="034925FF" w14:textId="77777777" w:rsidR="00D01AA6" w:rsidRDefault="00D01AA6">
      <w:pPr>
        <w:spacing w:line="600" w:lineRule="exact"/>
        <w:jc w:val="center"/>
        <w:outlineLvl w:val="0"/>
        <w:rPr>
          <w:rFonts w:ascii="方正小标宋简体" w:eastAsia="方正小标宋简体" w:hAnsi="宋体"/>
          <w:sz w:val="72"/>
          <w:szCs w:val="72"/>
        </w:rPr>
      </w:pPr>
    </w:p>
    <w:p w14:paraId="28434A8E" w14:textId="77777777" w:rsidR="00D01AA6"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6" w:name="_Toc2956"/>
      <w:bookmarkStart w:id="7" w:name="_Toc26402"/>
      <w:r>
        <w:rPr>
          <w:rFonts w:ascii="方正小标宋简体" w:eastAsia="方正小标宋简体" w:hAnsi="方正小标宋简体" w:cs="方正小标宋简体" w:hint="eastAsia"/>
          <w:sz w:val="72"/>
          <w:szCs w:val="72"/>
        </w:rPr>
        <w:t>2021年度</w:t>
      </w:r>
      <w:bookmarkEnd w:id="0"/>
      <w:bookmarkEnd w:id="1"/>
      <w:bookmarkEnd w:id="2"/>
      <w:bookmarkEnd w:id="3"/>
      <w:bookmarkEnd w:id="4"/>
      <w:bookmarkEnd w:id="6"/>
      <w:bookmarkEnd w:id="7"/>
    </w:p>
    <w:p w14:paraId="3890042A" w14:textId="77777777" w:rsidR="00D01AA6" w:rsidRDefault="00000000">
      <w:pPr>
        <w:adjustRightInd w:val="0"/>
        <w:snapToGrid w:val="0"/>
        <w:spacing w:line="360" w:lineRule="auto"/>
        <w:jc w:val="center"/>
        <w:outlineLvl w:val="0"/>
        <w:rPr>
          <w:rFonts w:ascii="方正小标宋简体" w:eastAsia="方正小标宋简体" w:hAnsi="方正小标宋简体" w:cs="方正小标宋简体"/>
          <w:sz w:val="72"/>
          <w:szCs w:val="72"/>
        </w:rPr>
      </w:pPr>
      <w:bookmarkStart w:id="8" w:name="_Toc15396476"/>
      <w:bookmarkStart w:id="9" w:name="_Toc15377426"/>
      <w:bookmarkStart w:id="10" w:name="_Toc15377194"/>
      <w:bookmarkStart w:id="11" w:name="_Toc15396598"/>
      <w:bookmarkStart w:id="12" w:name="_Toc15378442"/>
      <w:bookmarkStart w:id="13" w:name="_Toc24733"/>
      <w:bookmarkStart w:id="14" w:name="_Toc9529"/>
      <w:r>
        <w:rPr>
          <w:rFonts w:ascii="方正小标宋简体" w:eastAsia="方正小标宋简体" w:hAnsi="方正小标宋简体" w:cs="方正小标宋简体" w:hint="eastAsia"/>
          <w:sz w:val="72"/>
          <w:szCs w:val="72"/>
        </w:rPr>
        <w:t>凉山州</w:t>
      </w:r>
      <w:bookmarkStart w:id="15" w:name="_Toc15306268"/>
      <w:bookmarkEnd w:id="5"/>
      <w:r>
        <w:rPr>
          <w:rFonts w:ascii="方正小标宋简体" w:eastAsia="方正小标宋简体" w:hAnsi="方正小标宋简体" w:cs="方正小标宋简体" w:hint="eastAsia"/>
          <w:sz w:val="72"/>
          <w:szCs w:val="72"/>
        </w:rPr>
        <w:t>文联部门决算</w:t>
      </w:r>
      <w:bookmarkEnd w:id="8"/>
      <w:bookmarkEnd w:id="9"/>
      <w:bookmarkEnd w:id="10"/>
      <w:bookmarkEnd w:id="11"/>
      <w:bookmarkEnd w:id="12"/>
      <w:bookmarkEnd w:id="13"/>
      <w:bookmarkEnd w:id="14"/>
      <w:bookmarkEnd w:id="15"/>
    </w:p>
    <w:p w14:paraId="07FC8A01" w14:textId="77777777" w:rsidR="00D01AA6" w:rsidRDefault="00000000">
      <w:pPr>
        <w:pStyle w:val="TOC2"/>
        <w:tabs>
          <w:tab w:val="right" w:leader="dot" w:pos="8296"/>
        </w:tabs>
        <w:adjustRightInd w:val="0"/>
        <w:snapToGrid w:val="0"/>
        <w:spacing w:line="440" w:lineRule="exact"/>
        <w:jc w:val="center"/>
        <w:rPr>
          <w:rFonts w:ascii="方正小标宋简体" w:eastAsia="方正小标宋简体" w:hAnsi="宋体"/>
          <w:sz w:val="36"/>
          <w:szCs w:val="36"/>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14:paraId="7E46EFC6" w14:textId="77777777" w:rsidR="00D01AA6" w:rsidRDefault="00D01AA6">
      <w:pPr>
        <w:pStyle w:val="TOC1"/>
        <w:tabs>
          <w:tab w:val="clear" w:pos="8296"/>
          <w:tab w:val="right" w:leader="dot" w:pos="8306"/>
        </w:tabs>
      </w:pPr>
    </w:p>
    <w:p w14:paraId="02696D9A" w14:textId="77777777" w:rsidR="00D01AA6" w:rsidRDefault="00000000">
      <w:pPr>
        <w:pStyle w:val="TOC1"/>
      </w:pPr>
      <w:r>
        <w:rPr>
          <w:rFonts w:hint="eastAsia"/>
        </w:rPr>
        <w:t>公开时间：2022年9月6日</w:t>
      </w:r>
    </w:p>
    <w:p w14:paraId="219E6B5D" w14:textId="77777777" w:rsidR="00D01AA6" w:rsidRDefault="00000000">
      <w:pPr>
        <w:pStyle w:val="TOC1"/>
        <w:tabs>
          <w:tab w:val="clear" w:pos="8296"/>
          <w:tab w:val="right" w:leader="dot" w:pos="8306"/>
        </w:tabs>
        <w:rPr>
          <w:rFonts w:ascii="Times New Roman" w:eastAsia="宋体" w:hAnsi="Times New Roman"/>
          <w:sz w:val="24"/>
          <w:szCs w:val="24"/>
        </w:rPr>
      </w:pPr>
      <w:r>
        <w:rPr>
          <w:sz w:val="24"/>
          <w:szCs w:val="24"/>
        </w:rPr>
        <w:fldChar w:fldCharType="begin"/>
      </w:r>
      <w:r>
        <w:rPr>
          <w:sz w:val="24"/>
          <w:szCs w:val="24"/>
        </w:rPr>
        <w:instrText xml:space="preserve">TOC \o "1-2" \h  \u </w:instrText>
      </w:r>
      <w:r>
        <w:rPr>
          <w:sz w:val="24"/>
          <w:szCs w:val="24"/>
        </w:rPr>
        <w:fldChar w:fldCharType="separate"/>
      </w:r>
    </w:p>
    <w:p w14:paraId="55898E07" w14:textId="77777777" w:rsidR="00D01AA6" w:rsidRDefault="00000000">
      <w:pPr>
        <w:pStyle w:val="TOC1"/>
        <w:tabs>
          <w:tab w:val="clear" w:pos="8296"/>
          <w:tab w:val="right" w:leader="dot" w:pos="8306"/>
        </w:tabs>
        <w:rPr>
          <w:rFonts w:ascii="Times New Roman" w:eastAsia="宋体" w:hAnsi="Times New Roman"/>
          <w:sz w:val="24"/>
          <w:szCs w:val="24"/>
        </w:rPr>
      </w:pPr>
      <w:hyperlink w:anchor="_Toc21984" w:history="1">
        <w:r>
          <w:rPr>
            <w:rFonts w:ascii="黑体" w:eastAsia="黑体" w:hAnsi="黑体" w:hint="eastAsia"/>
            <w:sz w:val="24"/>
            <w:szCs w:val="24"/>
          </w:rPr>
          <w:t>第一部分 部门概况</w: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PAGEREF _Toc21984 </w:instrText>
        </w:r>
        <w:r>
          <w:rPr>
            <w:rFonts w:ascii="Times New Roman" w:eastAsia="宋体" w:hAnsi="Times New Roman"/>
            <w:sz w:val="24"/>
            <w:szCs w:val="24"/>
          </w:rPr>
          <w:fldChar w:fldCharType="separate"/>
        </w:r>
        <w:r>
          <w:rPr>
            <w:rFonts w:ascii="Times New Roman" w:eastAsia="宋体" w:hAnsi="Times New Roman"/>
            <w:sz w:val="24"/>
            <w:szCs w:val="24"/>
          </w:rPr>
          <w:t>3</w:t>
        </w:r>
        <w:r>
          <w:rPr>
            <w:rFonts w:ascii="Times New Roman" w:eastAsia="宋体" w:hAnsi="Times New Roman"/>
            <w:sz w:val="24"/>
            <w:szCs w:val="24"/>
          </w:rPr>
          <w:fldChar w:fldCharType="end"/>
        </w:r>
      </w:hyperlink>
    </w:p>
    <w:p w14:paraId="191A78B7" w14:textId="77777777" w:rsidR="00D01AA6" w:rsidRDefault="00000000">
      <w:pPr>
        <w:pStyle w:val="TOC2"/>
        <w:tabs>
          <w:tab w:val="right" w:leader="dot" w:pos="8306"/>
        </w:tabs>
        <w:rPr>
          <w:sz w:val="24"/>
        </w:rPr>
      </w:pPr>
      <w:hyperlink w:anchor="_Toc5077" w:history="1">
        <w:r>
          <w:rPr>
            <w:rFonts w:ascii="黑体" w:eastAsia="黑体" w:hAnsi="黑体" w:hint="eastAsia"/>
            <w:sz w:val="24"/>
          </w:rPr>
          <w:t>一、基本职能及主要工作</w:t>
        </w:r>
        <w:r>
          <w:rPr>
            <w:sz w:val="24"/>
          </w:rPr>
          <w:tab/>
        </w:r>
        <w:r>
          <w:rPr>
            <w:sz w:val="24"/>
          </w:rPr>
          <w:fldChar w:fldCharType="begin"/>
        </w:r>
        <w:r>
          <w:rPr>
            <w:sz w:val="24"/>
          </w:rPr>
          <w:instrText xml:space="preserve"> PAGEREF _Toc5077 </w:instrText>
        </w:r>
        <w:r>
          <w:rPr>
            <w:sz w:val="24"/>
          </w:rPr>
          <w:fldChar w:fldCharType="separate"/>
        </w:r>
        <w:r>
          <w:rPr>
            <w:sz w:val="24"/>
          </w:rPr>
          <w:t>3</w:t>
        </w:r>
        <w:r>
          <w:rPr>
            <w:sz w:val="24"/>
          </w:rPr>
          <w:fldChar w:fldCharType="end"/>
        </w:r>
      </w:hyperlink>
    </w:p>
    <w:p w14:paraId="2795B39D" w14:textId="77777777" w:rsidR="00D01AA6" w:rsidRDefault="00000000">
      <w:pPr>
        <w:pStyle w:val="TOC2"/>
        <w:tabs>
          <w:tab w:val="right" w:leader="dot" w:pos="8306"/>
        </w:tabs>
        <w:rPr>
          <w:sz w:val="24"/>
        </w:rPr>
      </w:pPr>
      <w:hyperlink w:anchor="_Toc30757" w:history="1">
        <w:r>
          <w:rPr>
            <w:rFonts w:ascii="黑体" w:eastAsia="黑体" w:hint="eastAsia"/>
            <w:sz w:val="24"/>
          </w:rPr>
          <w:t>二、</w:t>
        </w:r>
        <w:r>
          <w:rPr>
            <w:rFonts w:ascii="黑体" w:eastAsia="黑体" w:hAnsi="黑体" w:hint="eastAsia"/>
            <w:sz w:val="24"/>
          </w:rPr>
          <w:t>机构设置</w:t>
        </w:r>
        <w:r>
          <w:rPr>
            <w:sz w:val="24"/>
          </w:rPr>
          <w:tab/>
        </w:r>
        <w:r>
          <w:rPr>
            <w:sz w:val="24"/>
          </w:rPr>
          <w:fldChar w:fldCharType="begin"/>
        </w:r>
        <w:r>
          <w:rPr>
            <w:sz w:val="24"/>
          </w:rPr>
          <w:instrText xml:space="preserve"> PAGEREF _Toc30757 </w:instrText>
        </w:r>
        <w:r>
          <w:rPr>
            <w:sz w:val="24"/>
          </w:rPr>
          <w:fldChar w:fldCharType="separate"/>
        </w:r>
        <w:r>
          <w:rPr>
            <w:sz w:val="24"/>
          </w:rPr>
          <w:t>6</w:t>
        </w:r>
        <w:r>
          <w:rPr>
            <w:sz w:val="24"/>
          </w:rPr>
          <w:fldChar w:fldCharType="end"/>
        </w:r>
      </w:hyperlink>
    </w:p>
    <w:p w14:paraId="35184B2D" w14:textId="77777777" w:rsidR="00D01AA6" w:rsidRDefault="00000000">
      <w:pPr>
        <w:pStyle w:val="TOC1"/>
        <w:tabs>
          <w:tab w:val="clear" w:pos="8296"/>
          <w:tab w:val="right" w:leader="dot" w:pos="8306"/>
        </w:tabs>
        <w:rPr>
          <w:rFonts w:ascii="Times New Roman" w:eastAsia="宋体" w:hAnsi="Times New Roman"/>
          <w:sz w:val="24"/>
          <w:szCs w:val="24"/>
        </w:rPr>
      </w:pPr>
      <w:hyperlink w:anchor="_Toc1750" w:history="1">
        <w:r>
          <w:rPr>
            <w:rFonts w:ascii="黑体" w:eastAsia="黑体" w:hAnsi="黑体" w:hint="eastAsia"/>
            <w:sz w:val="24"/>
            <w:szCs w:val="24"/>
          </w:rPr>
          <w:t>第二部分 2021年度</w:t>
        </w:r>
        <w:r>
          <w:rPr>
            <w:rFonts w:ascii="黑体" w:eastAsia="黑体" w:hAnsi="黑体" w:hint="eastAsia"/>
            <w:bCs/>
            <w:sz w:val="24"/>
            <w:szCs w:val="24"/>
          </w:rPr>
          <w:t>部门决算情况说明</w: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PAGEREF _Toc1750 </w:instrText>
        </w:r>
        <w:r>
          <w:rPr>
            <w:rFonts w:ascii="Times New Roman" w:eastAsia="宋体" w:hAnsi="Times New Roman"/>
            <w:sz w:val="24"/>
            <w:szCs w:val="24"/>
          </w:rPr>
          <w:fldChar w:fldCharType="separate"/>
        </w:r>
        <w:r>
          <w:rPr>
            <w:rFonts w:ascii="Times New Roman" w:eastAsia="宋体" w:hAnsi="Times New Roman"/>
            <w:sz w:val="24"/>
            <w:szCs w:val="24"/>
          </w:rPr>
          <w:t>8</w:t>
        </w:r>
        <w:r>
          <w:rPr>
            <w:rFonts w:ascii="Times New Roman" w:eastAsia="宋体" w:hAnsi="Times New Roman"/>
            <w:sz w:val="24"/>
            <w:szCs w:val="24"/>
          </w:rPr>
          <w:fldChar w:fldCharType="end"/>
        </w:r>
      </w:hyperlink>
    </w:p>
    <w:p w14:paraId="0008DF95" w14:textId="77777777" w:rsidR="00D01AA6" w:rsidRDefault="00000000">
      <w:pPr>
        <w:pStyle w:val="TOC2"/>
        <w:tabs>
          <w:tab w:val="right" w:leader="dot" w:pos="8306"/>
        </w:tabs>
        <w:rPr>
          <w:sz w:val="24"/>
        </w:rPr>
      </w:pPr>
      <w:hyperlink w:anchor="_Toc9553" w:history="1">
        <w:r>
          <w:rPr>
            <w:rFonts w:ascii="黑体" w:eastAsia="黑体" w:hAnsi="黑体" w:cs="黑体"/>
            <w:bCs/>
            <w:sz w:val="24"/>
          </w:rPr>
          <w:t xml:space="preserve">一、 </w:t>
        </w:r>
        <w:r>
          <w:rPr>
            <w:rFonts w:ascii="黑体" w:eastAsia="黑体" w:hAnsi="黑体" w:hint="eastAsia"/>
            <w:sz w:val="24"/>
          </w:rPr>
          <w:t>收入支出决算总体情况说明</w:t>
        </w:r>
        <w:r>
          <w:rPr>
            <w:sz w:val="24"/>
          </w:rPr>
          <w:tab/>
        </w:r>
        <w:r>
          <w:rPr>
            <w:sz w:val="24"/>
          </w:rPr>
          <w:fldChar w:fldCharType="begin"/>
        </w:r>
        <w:r>
          <w:rPr>
            <w:sz w:val="24"/>
          </w:rPr>
          <w:instrText xml:space="preserve"> PAGEREF _Toc9553 </w:instrText>
        </w:r>
        <w:r>
          <w:rPr>
            <w:sz w:val="24"/>
          </w:rPr>
          <w:fldChar w:fldCharType="separate"/>
        </w:r>
        <w:r>
          <w:rPr>
            <w:sz w:val="24"/>
          </w:rPr>
          <w:t>8</w:t>
        </w:r>
        <w:r>
          <w:rPr>
            <w:sz w:val="24"/>
          </w:rPr>
          <w:fldChar w:fldCharType="end"/>
        </w:r>
      </w:hyperlink>
    </w:p>
    <w:p w14:paraId="6F760F9F" w14:textId="77777777" w:rsidR="00D01AA6" w:rsidRDefault="00000000">
      <w:pPr>
        <w:pStyle w:val="TOC2"/>
        <w:tabs>
          <w:tab w:val="right" w:leader="dot" w:pos="8306"/>
        </w:tabs>
        <w:rPr>
          <w:sz w:val="24"/>
        </w:rPr>
      </w:pPr>
      <w:hyperlink w:anchor="_Toc12774" w:history="1">
        <w:r>
          <w:rPr>
            <w:rFonts w:ascii="黑体" w:eastAsia="黑体" w:hAnsi="黑体" w:cs="黑体"/>
            <w:bCs/>
            <w:sz w:val="24"/>
          </w:rPr>
          <w:t xml:space="preserve">二、 </w:t>
        </w:r>
        <w:r>
          <w:rPr>
            <w:rFonts w:ascii="黑体" w:eastAsia="黑体" w:hAnsi="黑体" w:hint="eastAsia"/>
            <w:sz w:val="24"/>
          </w:rPr>
          <w:t>收入决算情况说明</w:t>
        </w:r>
        <w:r>
          <w:rPr>
            <w:sz w:val="24"/>
          </w:rPr>
          <w:tab/>
        </w:r>
        <w:r>
          <w:rPr>
            <w:sz w:val="24"/>
          </w:rPr>
          <w:fldChar w:fldCharType="begin"/>
        </w:r>
        <w:r>
          <w:rPr>
            <w:sz w:val="24"/>
          </w:rPr>
          <w:instrText xml:space="preserve"> PAGEREF _Toc12774 </w:instrText>
        </w:r>
        <w:r>
          <w:rPr>
            <w:sz w:val="24"/>
          </w:rPr>
          <w:fldChar w:fldCharType="separate"/>
        </w:r>
        <w:r>
          <w:rPr>
            <w:sz w:val="24"/>
          </w:rPr>
          <w:t>8</w:t>
        </w:r>
        <w:r>
          <w:rPr>
            <w:sz w:val="24"/>
          </w:rPr>
          <w:fldChar w:fldCharType="end"/>
        </w:r>
      </w:hyperlink>
    </w:p>
    <w:p w14:paraId="1F424552" w14:textId="77777777" w:rsidR="00D01AA6" w:rsidRDefault="00000000">
      <w:pPr>
        <w:pStyle w:val="TOC2"/>
        <w:tabs>
          <w:tab w:val="right" w:leader="dot" w:pos="8306"/>
        </w:tabs>
        <w:rPr>
          <w:sz w:val="24"/>
        </w:rPr>
      </w:pPr>
      <w:hyperlink w:anchor="_Toc29545" w:history="1">
        <w:r>
          <w:rPr>
            <w:rFonts w:ascii="黑体" w:eastAsia="黑体" w:hAnsi="黑体" w:cs="黑体"/>
            <w:bCs/>
            <w:sz w:val="24"/>
          </w:rPr>
          <w:t xml:space="preserve">三、 </w:t>
        </w:r>
        <w:r>
          <w:rPr>
            <w:rFonts w:ascii="黑体" w:eastAsia="黑体" w:hAnsi="黑体" w:hint="eastAsia"/>
            <w:sz w:val="24"/>
          </w:rPr>
          <w:t>支出决算情况说明</w:t>
        </w:r>
        <w:r>
          <w:rPr>
            <w:sz w:val="24"/>
          </w:rPr>
          <w:tab/>
        </w:r>
        <w:r>
          <w:rPr>
            <w:sz w:val="24"/>
          </w:rPr>
          <w:fldChar w:fldCharType="begin"/>
        </w:r>
        <w:r>
          <w:rPr>
            <w:sz w:val="24"/>
          </w:rPr>
          <w:instrText xml:space="preserve"> PAGEREF _Toc29545 </w:instrText>
        </w:r>
        <w:r>
          <w:rPr>
            <w:sz w:val="24"/>
          </w:rPr>
          <w:fldChar w:fldCharType="separate"/>
        </w:r>
        <w:r>
          <w:rPr>
            <w:sz w:val="24"/>
          </w:rPr>
          <w:t>9</w:t>
        </w:r>
        <w:r>
          <w:rPr>
            <w:sz w:val="24"/>
          </w:rPr>
          <w:fldChar w:fldCharType="end"/>
        </w:r>
      </w:hyperlink>
    </w:p>
    <w:p w14:paraId="4C6A13F5" w14:textId="77777777" w:rsidR="00D01AA6" w:rsidRDefault="00000000">
      <w:pPr>
        <w:pStyle w:val="TOC2"/>
        <w:tabs>
          <w:tab w:val="right" w:leader="dot" w:pos="8306"/>
        </w:tabs>
        <w:rPr>
          <w:sz w:val="24"/>
        </w:rPr>
      </w:pPr>
      <w:hyperlink w:anchor="_Toc20516" w:history="1">
        <w:r>
          <w:rPr>
            <w:rFonts w:ascii="黑体" w:eastAsia="黑体" w:hAnsi="黑体" w:hint="eastAsia"/>
            <w:sz w:val="24"/>
          </w:rPr>
          <w:t>四、财政拨款收入支出决算总体情况说明</w:t>
        </w:r>
        <w:r>
          <w:rPr>
            <w:sz w:val="24"/>
          </w:rPr>
          <w:tab/>
        </w:r>
        <w:r>
          <w:rPr>
            <w:sz w:val="24"/>
          </w:rPr>
          <w:fldChar w:fldCharType="begin"/>
        </w:r>
        <w:r>
          <w:rPr>
            <w:sz w:val="24"/>
          </w:rPr>
          <w:instrText xml:space="preserve"> PAGEREF _Toc20516 </w:instrText>
        </w:r>
        <w:r>
          <w:rPr>
            <w:sz w:val="24"/>
          </w:rPr>
          <w:fldChar w:fldCharType="separate"/>
        </w:r>
        <w:r>
          <w:rPr>
            <w:sz w:val="24"/>
          </w:rPr>
          <w:t>10</w:t>
        </w:r>
        <w:r>
          <w:rPr>
            <w:sz w:val="24"/>
          </w:rPr>
          <w:fldChar w:fldCharType="end"/>
        </w:r>
      </w:hyperlink>
    </w:p>
    <w:p w14:paraId="1C8C8E8C" w14:textId="77777777" w:rsidR="00D01AA6" w:rsidRDefault="00000000">
      <w:pPr>
        <w:pStyle w:val="TOC2"/>
        <w:tabs>
          <w:tab w:val="right" w:leader="dot" w:pos="8306"/>
        </w:tabs>
        <w:rPr>
          <w:sz w:val="24"/>
        </w:rPr>
      </w:pPr>
      <w:hyperlink w:anchor="_Toc26960" w:history="1">
        <w:r>
          <w:rPr>
            <w:rFonts w:ascii="黑体" w:eastAsia="黑体" w:hAnsi="黑体" w:hint="eastAsia"/>
            <w:sz w:val="24"/>
          </w:rPr>
          <w:t>五、一般公共预算财政拨款支出决算情况说明</w:t>
        </w:r>
        <w:r>
          <w:rPr>
            <w:sz w:val="24"/>
          </w:rPr>
          <w:tab/>
        </w:r>
        <w:r>
          <w:rPr>
            <w:sz w:val="24"/>
          </w:rPr>
          <w:fldChar w:fldCharType="begin"/>
        </w:r>
        <w:r>
          <w:rPr>
            <w:sz w:val="24"/>
          </w:rPr>
          <w:instrText xml:space="preserve"> PAGEREF _Toc26960 </w:instrText>
        </w:r>
        <w:r>
          <w:rPr>
            <w:sz w:val="24"/>
          </w:rPr>
          <w:fldChar w:fldCharType="separate"/>
        </w:r>
        <w:r>
          <w:rPr>
            <w:sz w:val="24"/>
          </w:rPr>
          <w:t>10</w:t>
        </w:r>
        <w:r>
          <w:rPr>
            <w:sz w:val="24"/>
          </w:rPr>
          <w:fldChar w:fldCharType="end"/>
        </w:r>
      </w:hyperlink>
    </w:p>
    <w:p w14:paraId="574563F4" w14:textId="77777777" w:rsidR="00D01AA6" w:rsidRDefault="00000000">
      <w:pPr>
        <w:pStyle w:val="TOC2"/>
        <w:tabs>
          <w:tab w:val="right" w:leader="dot" w:pos="8306"/>
        </w:tabs>
        <w:rPr>
          <w:sz w:val="24"/>
        </w:rPr>
      </w:pPr>
      <w:hyperlink w:anchor="_Toc32515" w:history="1">
        <w:r>
          <w:rPr>
            <w:rFonts w:ascii="黑体" w:eastAsia="黑体" w:hint="eastAsia"/>
            <w:sz w:val="24"/>
          </w:rPr>
          <w:t>六、</w:t>
        </w:r>
        <w:r>
          <w:rPr>
            <w:rFonts w:ascii="黑体" w:eastAsia="黑体" w:hAnsi="黑体" w:hint="eastAsia"/>
            <w:sz w:val="24"/>
          </w:rPr>
          <w:t>一般公共预算财政拨款基本支出决算情况说明</w:t>
        </w:r>
        <w:r>
          <w:rPr>
            <w:sz w:val="24"/>
          </w:rPr>
          <w:tab/>
        </w:r>
        <w:r>
          <w:rPr>
            <w:sz w:val="24"/>
          </w:rPr>
          <w:fldChar w:fldCharType="begin"/>
        </w:r>
        <w:r>
          <w:rPr>
            <w:sz w:val="24"/>
          </w:rPr>
          <w:instrText xml:space="preserve"> PAGEREF _Toc32515 </w:instrText>
        </w:r>
        <w:r>
          <w:rPr>
            <w:sz w:val="24"/>
          </w:rPr>
          <w:fldChar w:fldCharType="separate"/>
        </w:r>
        <w:r>
          <w:rPr>
            <w:sz w:val="24"/>
          </w:rPr>
          <w:t>13</w:t>
        </w:r>
        <w:r>
          <w:rPr>
            <w:sz w:val="24"/>
          </w:rPr>
          <w:fldChar w:fldCharType="end"/>
        </w:r>
      </w:hyperlink>
    </w:p>
    <w:p w14:paraId="1C187257" w14:textId="77777777" w:rsidR="00D01AA6" w:rsidRDefault="00000000">
      <w:pPr>
        <w:pStyle w:val="TOC2"/>
        <w:tabs>
          <w:tab w:val="right" w:leader="dot" w:pos="8306"/>
        </w:tabs>
        <w:rPr>
          <w:sz w:val="24"/>
        </w:rPr>
      </w:pPr>
      <w:hyperlink w:anchor="_Toc24569" w:history="1">
        <w:r>
          <w:rPr>
            <w:rFonts w:ascii="黑体" w:eastAsia="黑体" w:hint="eastAsia"/>
            <w:sz w:val="24"/>
          </w:rPr>
          <w:t>七、</w:t>
        </w:r>
        <w:r>
          <w:rPr>
            <w:rFonts w:ascii="黑体" w:eastAsia="黑体" w:hAnsi="黑体" w:hint="eastAsia"/>
            <w:sz w:val="24"/>
          </w:rPr>
          <w:t>“三公”经费财政拨款支出决算情况说明</w:t>
        </w:r>
        <w:r>
          <w:rPr>
            <w:sz w:val="24"/>
          </w:rPr>
          <w:tab/>
        </w:r>
        <w:r>
          <w:rPr>
            <w:sz w:val="24"/>
          </w:rPr>
          <w:fldChar w:fldCharType="begin"/>
        </w:r>
        <w:r>
          <w:rPr>
            <w:sz w:val="24"/>
          </w:rPr>
          <w:instrText xml:space="preserve"> PAGEREF _Toc24569 </w:instrText>
        </w:r>
        <w:r>
          <w:rPr>
            <w:sz w:val="24"/>
          </w:rPr>
          <w:fldChar w:fldCharType="separate"/>
        </w:r>
        <w:r>
          <w:rPr>
            <w:sz w:val="24"/>
          </w:rPr>
          <w:t>14</w:t>
        </w:r>
        <w:r>
          <w:rPr>
            <w:sz w:val="24"/>
          </w:rPr>
          <w:fldChar w:fldCharType="end"/>
        </w:r>
      </w:hyperlink>
    </w:p>
    <w:p w14:paraId="70E74041" w14:textId="77777777" w:rsidR="00D01AA6" w:rsidRDefault="00000000">
      <w:pPr>
        <w:pStyle w:val="TOC2"/>
        <w:tabs>
          <w:tab w:val="right" w:leader="dot" w:pos="8306"/>
        </w:tabs>
        <w:rPr>
          <w:sz w:val="24"/>
        </w:rPr>
      </w:pPr>
      <w:hyperlink w:anchor="_Toc17881" w:history="1">
        <w:r>
          <w:rPr>
            <w:rFonts w:ascii="黑体" w:eastAsia="黑体" w:hint="eastAsia"/>
            <w:sz w:val="24"/>
          </w:rPr>
          <w:t>八、</w:t>
        </w:r>
        <w:r>
          <w:rPr>
            <w:rFonts w:ascii="黑体" w:eastAsia="黑体" w:hAnsi="黑体" w:hint="eastAsia"/>
            <w:sz w:val="24"/>
          </w:rPr>
          <w:t>政府性基金预算支出决算情况说明</w:t>
        </w:r>
        <w:r>
          <w:rPr>
            <w:sz w:val="24"/>
          </w:rPr>
          <w:tab/>
        </w:r>
        <w:r>
          <w:rPr>
            <w:sz w:val="24"/>
          </w:rPr>
          <w:fldChar w:fldCharType="begin"/>
        </w:r>
        <w:r>
          <w:rPr>
            <w:sz w:val="24"/>
          </w:rPr>
          <w:instrText xml:space="preserve"> PAGEREF _Toc17881 </w:instrText>
        </w:r>
        <w:r>
          <w:rPr>
            <w:sz w:val="24"/>
          </w:rPr>
          <w:fldChar w:fldCharType="separate"/>
        </w:r>
        <w:r>
          <w:rPr>
            <w:sz w:val="24"/>
          </w:rPr>
          <w:t>16</w:t>
        </w:r>
        <w:r>
          <w:rPr>
            <w:sz w:val="24"/>
          </w:rPr>
          <w:fldChar w:fldCharType="end"/>
        </w:r>
      </w:hyperlink>
    </w:p>
    <w:p w14:paraId="7298F6D8" w14:textId="77777777" w:rsidR="00D01AA6" w:rsidRDefault="00000000">
      <w:pPr>
        <w:pStyle w:val="TOC2"/>
        <w:tabs>
          <w:tab w:val="right" w:leader="dot" w:pos="8306"/>
        </w:tabs>
        <w:rPr>
          <w:sz w:val="24"/>
        </w:rPr>
      </w:pPr>
      <w:hyperlink w:anchor="_Toc27936" w:history="1">
        <w:r>
          <w:rPr>
            <w:rFonts w:ascii="黑体" w:eastAsia="黑体" w:hAnsi="黑体" w:cs="黑体" w:hint="eastAsia"/>
            <w:bCs/>
            <w:sz w:val="24"/>
          </w:rPr>
          <w:t xml:space="preserve">九、 </w:t>
        </w:r>
        <w:r>
          <w:rPr>
            <w:rFonts w:ascii="黑体" w:eastAsia="黑体" w:hAnsi="黑体" w:hint="eastAsia"/>
            <w:sz w:val="24"/>
          </w:rPr>
          <w:t>国有资本经营预算支出决算情况说明</w:t>
        </w:r>
        <w:r>
          <w:rPr>
            <w:sz w:val="24"/>
          </w:rPr>
          <w:tab/>
        </w:r>
        <w:r>
          <w:rPr>
            <w:sz w:val="24"/>
          </w:rPr>
          <w:fldChar w:fldCharType="begin"/>
        </w:r>
        <w:r>
          <w:rPr>
            <w:sz w:val="24"/>
          </w:rPr>
          <w:instrText xml:space="preserve"> PAGEREF _Toc27936 </w:instrText>
        </w:r>
        <w:r>
          <w:rPr>
            <w:sz w:val="24"/>
          </w:rPr>
          <w:fldChar w:fldCharType="separate"/>
        </w:r>
        <w:r>
          <w:rPr>
            <w:sz w:val="24"/>
          </w:rPr>
          <w:t>16</w:t>
        </w:r>
        <w:r>
          <w:rPr>
            <w:sz w:val="24"/>
          </w:rPr>
          <w:fldChar w:fldCharType="end"/>
        </w:r>
      </w:hyperlink>
    </w:p>
    <w:p w14:paraId="7142B8C6" w14:textId="77777777" w:rsidR="00D01AA6" w:rsidRDefault="00000000">
      <w:pPr>
        <w:pStyle w:val="TOC2"/>
        <w:tabs>
          <w:tab w:val="right" w:leader="dot" w:pos="8306"/>
        </w:tabs>
        <w:rPr>
          <w:sz w:val="24"/>
        </w:rPr>
      </w:pPr>
      <w:hyperlink w:anchor="_Toc21254" w:history="1">
        <w:r>
          <w:rPr>
            <w:rFonts w:ascii="黑体" w:eastAsia="黑体" w:hAnsi="黑体" w:cs="黑体" w:hint="eastAsia"/>
            <w:bCs/>
            <w:sz w:val="24"/>
          </w:rPr>
          <w:t xml:space="preserve">十、 </w:t>
        </w:r>
        <w:r>
          <w:rPr>
            <w:rFonts w:ascii="黑体" w:eastAsia="黑体" w:hAnsi="黑体" w:hint="eastAsia"/>
            <w:sz w:val="24"/>
          </w:rPr>
          <w:t>其他重要事项的情况说明</w:t>
        </w:r>
        <w:r>
          <w:rPr>
            <w:sz w:val="24"/>
          </w:rPr>
          <w:tab/>
        </w:r>
        <w:r>
          <w:rPr>
            <w:sz w:val="24"/>
          </w:rPr>
          <w:fldChar w:fldCharType="begin"/>
        </w:r>
        <w:r>
          <w:rPr>
            <w:sz w:val="24"/>
          </w:rPr>
          <w:instrText xml:space="preserve"> PAGEREF _Toc21254 </w:instrText>
        </w:r>
        <w:r>
          <w:rPr>
            <w:sz w:val="24"/>
          </w:rPr>
          <w:fldChar w:fldCharType="separate"/>
        </w:r>
        <w:r>
          <w:rPr>
            <w:sz w:val="24"/>
          </w:rPr>
          <w:t>17</w:t>
        </w:r>
        <w:r>
          <w:rPr>
            <w:sz w:val="24"/>
          </w:rPr>
          <w:fldChar w:fldCharType="end"/>
        </w:r>
      </w:hyperlink>
    </w:p>
    <w:p w14:paraId="27B76AF5" w14:textId="77777777" w:rsidR="00D01AA6" w:rsidRDefault="00000000">
      <w:pPr>
        <w:pStyle w:val="TOC1"/>
        <w:tabs>
          <w:tab w:val="clear" w:pos="8296"/>
          <w:tab w:val="right" w:leader="dot" w:pos="8306"/>
        </w:tabs>
        <w:rPr>
          <w:rFonts w:ascii="Times New Roman" w:eastAsia="宋体" w:hAnsi="Times New Roman"/>
          <w:sz w:val="24"/>
          <w:szCs w:val="24"/>
        </w:rPr>
      </w:pPr>
      <w:hyperlink w:anchor="_Toc6865" w:history="1">
        <w:r>
          <w:rPr>
            <w:rFonts w:ascii="黑体" w:eastAsia="黑体" w:hAnsi="黑体" w:hint="eastAsia"/>
            <w:bCs/>
            <w:kern w:val="44"/>
            <w:sz w:val="24"/>
            <w:szCs w:val="24"/>
          </w:rPr>
          <w:t xml:space="preserve">第三部分 </w:t>
        </w:r>
        <w:r>
          <w:rPr>
            <w:rFonts w:ascii="黑体" w:eastAsia="黑体" w:hAnsi="黑体" w:hint="eastAsia"/>
            <w:sz w:val="24"/>
            <w:szCs w:val="24"/>
          </w:rPr>
          <w:t>名词解释</w: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PAGEREF _Toc6865 </w:instrText>
        </w:r>
        <w:r>
          <w:rPr>
            <w:rFonts w:ascii="Times New Roman" w:eastAsia="宋体" w:hAnsi="Times New Roman"/>
            <w:sz w:val="24"/>
            <w:szCs w:val="24"/>
          </w:rPr>
          <w:fldChar w:fldCharType="separate"/>
        </w:r>
        <w:r>
          <w:rPr>
            <w:rFonts w:ascii="Times New Roman" w:eastAsia="宋体" w:hAnsi="Times New Roman"/>
            <w:sz w:val="24"/>
            <w:szCs w:val="24"/>
          </w:rPr>
          <w:t>19</w:t>
        </w:r>
        <w:r>
          <w:rPr>
            <w:rFonts w:ascii="Times New Roman" w:eastAsia="宋体" w:hAnsi="Times New Roman"/>
            <w:sz w:val="24"/>
            <w:szCs w:val="24"/>
          </w:rPr>
          <w:fldChar w:fldCharType="end"/>
        </w:r>
      </w:hyperlink>
    </w:p>
    <w:p w14:paraId="428F098D" w14:textId="77777777" w:rsidR="00D01AA6" w:rsidRDefault="00000000">
      <w:pPr>
        <w:pStyle w:val="TOC1"/>
        <w:tabs>
          <w:tab w:val="clear" w:pos="8296"/>
          <w:tab w:val="right" w:leader="dot" w:pos="8306"/>
        </w:tabs>
        <w:rPr>
          <w:rFonts w:ascii="Times New Roman" w:eastAsia="宋体" w:hAnsi="Times New Roman"/>
          <w:sz w:val="24"/>
          <w:szCs w:val="24"/>
        </w:rPr>
      </w:pPr>
      <w:hyperlink w:anchor="_Toc28904" w:history="1">
        <w:r>
          <w:rPr>
            <w:rFonts w:ascii="黑体" w:eastAsia="黑体" w:hAnsi="黑体" w:hint="eastAsia"/>
            <w:sz w:val="24"/>
            <w:szCs w:val="24"/>
          </w:rPr>
          <w:t>第四部分 附件</w: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PAGEREF _Toc28904 </w:instrText>
        </w:r>
        <w:r>
          <w:rPr>
            <w:rFonts w:ascii="Times New Roman" w:eastAsia="宋体" w:hAnsi="Times New Roman"/>
            <w:sz w:val="24"/>
            <w:szCs w:val="24"/>
          </w:rPr>
          <w:fldChar w:fldCharType="separate"/>
        </w:r>
        <w:r>
          <w:rPr>
            <w:rFonts w:ascii="Times New Roman" w:eastAsia="宋体" w:hAnsi="Times New Roman"/>
            <w:sz w:val="24"/>
            <w:szCs w:val="24"/>
          </w:rPr>
          <w:t>22</w:t>
        </w:r>
        <w:r>
          <w:rPr>
            <w:rFonts w:ascii="Times New Roman" w:eastAsia="宋体" w:hAnsi="Times New Roman"/>
            <w:sz w:val="24"/>
            <w:szCs w:val="24"/>
          </w:rPr>
          <w:fldChar w:fldCharType="end"/>
        </w:r>
      </w:hyperlink>
    </w:p>
    <w:p w14:paraId="046E4A2E" w14:textId="77777777" w:rsidR="00D01AA6" w:rsidRDefault="00000000">
      <w:pPr>
        <w:pStyle w:val="TOC1"/>
        <w:tabs>
          <w:tab w:val="clear" w:pos="8296"/>
          <w:tab w:val="right" w:leader="dot" w:pos="8306"/>
        </w:tabs>
        <w:rPr>
          <w:rFonts w:ascii="Times New Roman" w:eastAsia="宋体" w:hAnsi="Times New Roman"/>
          <w:sz w:val="24"/>
          <w:szCs w:val="24"/>
        </w:rPr>
      </w:pPr>
      <w:hyperlink w:anchor="_Toc19947" w:history="1">
        <w:r>
          <w:rPr>
            <w:rFonts w:ascii="黑体" w:eastAsia="黑体" w:hAnsi="黑体" w:hint="eastAsia"/>
            <w:sz w:val="24"/>
            <w:szCs w:val="24"/>
          </w:rPr>
          <w:t>第五部分 附表</w:t>
        </w:r>
        <w:r>
          <w:rPr>
            <w:rFonts w:ascii="Times New Roman" w:eastAsia="宋体" w:hAnsi="Times New Roman"/>
            <w:sz w:val="24"/>
            <w:szCs w:val="24"/>
          </w:rPr>
          <w:tab/>
        </w:r>
        <w:r>
          <w:rPr>
            <w:rFonts w:ascii="Times New Roman" w:eastAsia="宋体" w:hAnsi="Times New Roman"/>
            <w:sz w:val="24"/>
            <w:szCs w:val="24"/>
          </w:rPr>
          <w:fldChar w:fldCharType="begin"/>
        </w:r>
        <w:r>
          <w:rPr>
            <w:rFonts w:ascii="Times New Roman" w:eastAsia="宋体" w:hAnsi="Times New Roman"/>
            <w:sz w:val="24"/>
            <w:szCs w:val="24"/>
          </w:rPr>
          <w:instrText xml:space="preserve"> PAGEREF _Toc19947 </w:instrText>
        </w:r>
        <w:r>
          <w:rPr>
            <w:rFonts w:ascii="Times New Roman" w:eastAsia="宋体" w:hAnsi="Times New Roman"/>
            <w:sz w:val="24"/>
            <w:szCs w:val="24"/>
          </w:rPr>
          <w:fldChar w:fldCharType="separate"/>
        </w:r>
        <w:r>
          <w:rPr>
            <w:rFonts w:ascii="Times New Roman" w:eastAsia="宋体" w:hAnsi="Times New Roman"/>
            <w:sz w:val="24"/>
            <w:szCs w:val="24"/>
          </w:rPr>
          <w:t>53</w:t>
        </w:r>
        <w:r>
          <w:rPr>
            <w:rFonts w:ascii="Times New Roman" w:eastAsia="宋体" w:hAnsi="Times New Roman"/>
            <w:sz w:val="24"/>
            <w:szCs w:val="24"/>
          </w:rPr>
          <w:fldChar w:fldCharType="end"/>
        </w:r>
      </w:hyperlink>
    </w:p>
    <w:p w14:paraId="16208607" w14:textId="77777777" w:rsidR="00D01AA6" w:rsidRDefault="00000000">
      <w:pPr>
        <w:pStyle w:val="TOC2"/>
        <w:tabs>
          <w:tab w:val="right" w:leader="dot" w:pos="8306"/>
        </w:tabs>
        <w:rPr>
          <w:sz w:val="24"/>
        </w:rPr>
      </w:pPr>
      <w:hyperlink w:anchor="_Toc27900" w:history="1">
        <w:r>
          <w:rPr>
            <w:rFonts w:ascii="仿宋" w:eastAsia="仿宋" w:hAnsi="仿宋" w:hint="eastAsia"/>
            <w:sz w:val="24"/>
          </w:rPr>
          <w:t>一、收入支出决算总表</w:t>
        </w:r>
        <w:r>
          <w:rPr>
            <w:sz w:val="24"/>
          </w:rPr>
          <w:tab/>
        </w:r>
        <w:r>
          <w:rPr>
            <w:sz w:val="24"/>
          </w:rPr>
          <w:fldChar w:fldCharType="begin"/>
        </w:r>
        <w:r>
          <w:rPr>
            <w:sz w:val="24"/>
          </w:rPr>
          <w:instrText xml:space="preserve"> PAGEREF _Toc27900 </w:instrText>
        </w:r>
        <w:r>
          <w:rPr>
            <w:sz w:val="24"/>
          </w:rPr>
          <w:fldChar w:fldCharType="separate"/>
        </w:r>
        <w:r>
          <w:rPr>
            <w:sz w:val="24"/>
          </w:rPr>
          <w:t>53</w:t>
        </w:r>
        <w:r>
          <w:rPr>
            <w:sz w:val="24"/>
          </w:rPr>
          <w:fldChar w:fldCharType="end"/>
        </w:r>
      </w:hyperlink>
    </w:p>
    <w:p w14:paraId="78C280AC" w14:textId="77777777" w:rsidR="00D01AA6" w:rsidRDefault="00000000">
      <w:pPr>
        <w:pStyle w:val="TOC2"/>
        <w:tabs>
          <w:tab w:val="right" w:leader="dot" w:pos="8306"/>
        </w:tabs>
        <w:rPr>
          <w:sz w:val="24"/>
        </w:rPr>
      </w:pPr>
      <w:hyperlink w:anchor="_Toc17950" w:history="1">
        <w:r>
          <w:rPr>
            <w:rFonts w:ascii="仿宋" w:eastAsia="仿宋" w:hAnsi="仿宋" w:hint="eastAsia"/>
            <w:sz w:val="24"/>
          </w:rPr>
          <w:t>二、收入决算表</w:t>
        </w:r>
        <w:r>
          <w:rPr>
            <w:sz w:val="24"/>
          </w:rPr>
          <w:tab/>
        </w:r>
        <w:r>
          <w:rPr>
            <w:sz w:val="24"/>
          </w:rPr>
          <w:fldChar w:fldCharType="begin"/>
        </w:r>
        <w:r>
          <w:rPr>
            <w:sz w:val="24"/>
          </w:rPr>
          <w:instrText xml:space="preserve"> PAGEREF _Toc17950 </w:instrText>
        </w:r>
        <w:r>
          <w:rPr>
            <w:sz w:val="24"/>
          </w:rPr>
          <w:fldChar w:fldCharType="separate"/>
        </w:r>
        <w:r>
          <w:rPr>
            <w:sz w:val="24"/>
          </w:rPr>
          <w:t>53</w:t>
        </w:r>
        <w:r>
          <w:rPr>
            <w:sz w:val="24"/>
          </w:rPr>
          <w:fldChar w:fldCharType="end"/>
        </w:r>
      </w:hyperlink>
    </w:p>
    <w:p w14:paraId="58CF4749" w14:textId="77777777" w:rsidR="00D01AA6" w:rsidRDefault="00000000">
      <w:pPr>
        <w:pStyle w:val="TOC2"/>
        <w:tabs>
          <w:tab w:val="right" w:leader="dot" w:pos="8306"/>
        </w:tabs>
        <w:rPr>
          <w:sz w:val="24"/>
        </w:rPr>
      </w:pPr>
      <w:hyperlink w:anchor="_Toc14566" w:history="1">
        <w:r>
          <w:rPr>
            <w:rFonts w:ascii="仿宋" w:eastAsia="仿宋" w:hAnsi="仿宋" w:hint="eastAsia"/>
            <w:sz w:val="24"/>
          </w:rPr>
          <w:t>三、支出决算表</w:t>
        </w:r>
        <w:r>
          <w:rPr>
            <w:sz w:val="24"/>
          </w:rPr>
          <w:tab/>
        </w:r>
        <w:r>
          <w:rPr>
            <w:sz w:val="24"/>
          </w:rPr>
          <w:fldChar w:fldCharType="begin"/>
        </w:r>
        <w:r>
          <w:rPr>
            <w:sz w:val="24"/>
          </w:rPr>
          <w:instrText xml:space="preserve"> PAGEREF _Toc14566 </w:instrText>
        </w:r>
        <w:r>
          <w:rPr>
            <w:sz w:val="24"/>
          </w:rPr>
          <w:fldChar w:fldCharType="separate"/>
        </w:r>
        <w:r>
          <w:rPr>
            <w:sz w:val="24"/>
          </w:rPr>
          <w:t>53</w:t>
        </w:r>
        <w:r>
          <w:rPr>
            <w:sz w:val="24"/>
          </w:rPr>
          <w:fldChar w:fldCharType="end"/>
        </w:r>
      </w:hyperlink>
    </w:p>
    <w:p w14:paraId="22EE9EA7" w14:textId="77777777" w:rsidR="00D01AA6" w:rsidRDefault="00000000">
      <w:pPr>
        <w:pStyle w:val="TOC2"/>
        <w:tabs>
          <w:tab w:val="right" w:leader="dot" w:pos="8306"/>
        </w:tabs>
        <w:rPr>
          <w:sz w:val="24"/>
        </w:rPr>
      </w:pPr>
      <w:hyperlink w:anchor="_Toc17017" w:history="1">
        <w:r>
          <w:rPr>
            <w:rFonts w:ascii="仿宋" w:eastAsia="仿宋" w:hAnsi="仿宋" w:hint="eastAsia"/>
            <w:sz w:val="24"/>
          </w:rPr>
          <w:t>四、财政拨款收入支出决算总表</w:t>
        </w:r>
        <w:r>
          <w:rPr>
            <w:sz w:val="24"/>
          </w:rPr>
          <w:tab/>
        </w:r>
        <w:r>
          <w:rPr>
            <w:sz w:val="24"/>
          </w:rPr>
          <w:fldChar w:fldCharType="begin"/>
        </w:r>
        <w:r>
          <w:rPr>
            <w:sz w:val="24"/>
          </w:rPr>
          <w:instrText xml:space="preserve"> PAGEREF _Toc17017 </w:instrText>
        </w:r>
        <w:r>
          <w:rPr>
            <w:sz w:val="24"/>
          </w:rPr>
          <w:fldChar w:fldCharType="separate"/>
        </w:r>
        <w:r>
          <w:rPr>
            <w:sz w:val="24"/>
          </w:rPr>
          <w:t>53</w:t>
        </w:r>
        <w:r>
          <w:rPr>
            <w:sz w:val="24"/>
          </w:rPr>
          <w:fldChar w:fldCharType="end"/>
        </w:r>
      </w:hyperlink>
    </w:p>
    <w:p w14:paraId="37492C0F" w14:textId="77777777" w:rsidR="00D01AA6" w:rsidRDefault="00000000">
      <w:pPr>
        <w:pStyle w:val="TOC2"/>
        <w:tabs>
          <w:tab w:val="right" w:leader="dot" w:pos="8306"/>
        </w:tabs>
        <w:rPr>
          <w:sz w:val="24"/>
        </w:rPr>
      </w:pPr>
      <w:hyperlink w:anchor="_Toc10926" w:history="1">
        <w:r>
          <w:rPr>
            <w:rFonts w:ascii="仿宋" w:eastAsia="仿宋" w:hAnsi="仿宋" w:hint="eastAsia"/>
            <w:sz w:val="24"/>
          </w:rPr>
          <w:t>五、财政拨款支出决算明细表</w:t>
        </w:r>
        <w:r>
          <w:rPr>
            <w:sz w:val="24"/>
          </w:rPr>
          <w:tab/>
        </w:r>
        <w:r>
          <w:rPr>
            <w:sz w:val="24"/>
          </w:rPr>
          <w:fldChar w:fldCharType="begin"/>
        </w:r>
        <w:r>
          <w:rPr>
            <w:sz w:val="24"/>
          </w:rPr>
          <w:instrText xml:space="preserve"> PAGEREF _Toc10926 </w:instrText>
        </w:r>
        <w:r>
          <w:rPr>
            <w:sz w:val="24"/>
          </w:rPr>
          <w:fldChar w:fldCharType="separate"/>
        </w:r>
        <w:r>
          <w:rPr>
            <w:sz w:val="24"/>
          </w:rPr>
          <w:t>53</w:t>
        </w:r>
        <w:r>
          <w:rPr>
            <w:sz w:val="24"/>
          </w:rPr>
          <w:fldChar w:fldCharType="end"/>
        </w:r>
      </w:hyperlink>
    </w:p>
    <w:p w14:paraId="0D2C088E" w14:textId="77777777" w:rsidR="00D01AA6" w:rsidRDefault="00000000">
      <w:pPr>
        <w:pStyle w:val="TOC2"/>
        <w:tabs>
          <w:tab w:val="right" w:leader="dot" w:pos="8306"/>
        </w:tabs>
        <w:rPr>
          <w:sz w:val="24"/>
        </w:rPr>
      </w:pPr>
      <w:hyperlink w:anchor="_Toc9011" w:history="1">
        <w:r>
          <w:rPr>
            <w:rFonts w:ascii="仿宋" w:eastAsia="仿宋" w:hAnsi="仿宋" w:hint="eastAsia"/>
            <w:sz w:val="24"/>
          </w:rPr>
          <w:t>六、一般公共预算财政拨款支出决算表</w:t>
        </w:r>
        <w:r>
          <w:rPr>
            <w:sz w:val="24"/>
          </w:rPr>
          <w:tab/>
        </w:r>
        <w:r>
          <w:rPr>
            <w:sz w:val="24"/>
          </w:rPr>
          <w:fldChar w:fldCharType="begin"/>
        </w:r>
        <w:r>
          <w:rPr>
            <w:sz w:val="24"/>
          </w:rPr>
          <w:instrText xml:space="preserve"> PAGEREF _Toc9011 </w:instrText>
        </w:r>
        <w:r>
          <w:rPr>
            <w:sz w:val="24"/>
          </w:rPr>
          <w:fldChar w:fldCharType="separate"/>
        </w:r>
        <w:r>
          <w:rPr>
            <w:sz w:val="24"/>
          </w:rPr>
          <w:t>53</w:t>
        </w:r>
        <w:r>
          <w:rPr>
            <w:sz w:val="24"/>
          </w:rPr>
          <w:fldChar w:fldCharType="end"/>
        </w:r>
      </w:hyperlink>
    </w:p>
    <w:p w14:paraId="6D50DF8A" w14:textId="77777777" w:rsidR="00D01AA6" w:rsidRDefault="00000000">
      <w:pPr>
        <w:pStyle w:val="TOC2"/>
        <w:tabs>
          <w:tab w:val="right" w:leader="dot" w:pos="8306"/>
        </w:tabs>
        <w:rPr>
          <w:sz w:val="24"/>
        </w:rPr>
      </w:pPr>
      <w:hyperlink w:anchor="_Toc9837" w:history="1">
        <w:r>
          <w:rPr>
            <w:rFonts w:ascii="仿宋" w:eastAsia="仿宋" w:hAnsi="仿宋" w:hint="eastAsia"/>
            <w:sz w:val="24"/>
          </w:rPr>
          <w:t>七、一般公共预算财政拨款支出决算明细表</w:t>
        </w:r>
        <w:r>
          <w:rPr>
            <w:sz w:val="24"/>
          </w:rPr>
          <w:tab/>
        </w:r>
        <w:r>
          <w:rPr>
            <w:sz w:val="24"/>
          </w:rPr>
          <w:fldChar w:fldCharType="begin"/>
        </w:r>
        <w:r>
          <w:rPr>
            <w:sz w:val="24"/>
          </w:rPr>
          <w:instrText xml:space="preserve"> PAGEREF _Toc9837 </w:instrText>
        </w:r>
        <w:r>
          <w:rPr>
            <w:sz w:val="24"/>
          </w:rPr>
          <w:fldChar w:fldCharType="separate"/>
        </w:r>
        <w:r>
          <w:rPr>
            <w:sz w:val="24"/>
          </w:rPr>
          <w:t>53</w:t>
        </w:r>
        <w:r>
          <w:rPr>
            <w:sz w:val="24"/>
          </w:rPr>
          <w:fldChar w:fldCharType="end"/>
        </w:r>
      </w:hyperlink>
    </w:p>
    <w:p w14:paraId="529C9490" w14:textId="77777777" w:rsidR="00D01AA6" w:rsidRDefault="00000000">
      <w:pPr>
        <w:pStyle w:val="TOC2"/>
        <w:tabs>
          <w:tab w:val="right" w:leader="dot" w:pos="8306"/>
        </w:tabs>
        <w:rPr>
          <w:sz w:val="24"/>
        </w:rPr>
      </w:pPr>
      <w:hyperlink w:anchor="_Toc5587" w:history="1">
        <w:r>
          <w:rPr>
            <w:rFonts w:ascii="仿宋" w:eastAsia="仿宋" w:hAnsi="仿宋" w:hint="eastAsia"/>
            <w:sz w:val="24"/>
          </w:rPr>
          <w:t>八、一般公共预算财政拨款基本支出决算表</w:t>
        </w:r>
        <w:r>
          <w:rPr>
            <w:sz w:val="24"/>
          </w:rPr>
          <w:tab/>
        </w:r>
        <w:r>
          <w:rPr>
            <w:sz w:val="24"/>
          </w:rPr>
          <w:fldChar w:fldCharType="begin"/>
        </w:r>
        <w:r>
          <w:rPr>
            <w:sz w:val="24"/>
          </w:rPr>
          <w:instrText xml:space="preserve"> PAGEREF _Toc5587 </w:instrText>
        </w:r>
        <w:r>
          <w:rPr>
            <w:sz w:val="24"/>
          </w:rPr>
          <w:fldChar w:fldCharType="separate"/>
        </w:r>
        <w:r>
          <w:rPr>
            <w:sz w:val="24"/>
          </w:rPr>
          <w:t>53</w:t>
        </w:r>
        <w:r>
          <w:rPr>
            <w:sz w:val="24"/>
          </w:rPr>
          <w:fldChar w:fldCharType="end"/>
        </w:r>
      </w:hyperlink>
    </w:p>
    <w:p w14:paraId="5BFC33A6" w14:textId="77777777" w:rsidR="00D01AA6" w:rsidRDefault="00000000">
      <w:pPr>
        <w:pStyle w:val="TOC2"/>
        <w:tabs>
          <w:tab w:val="right" w:leader="dot" w:pos="8306"/>
        </w:tabs>
        <w:rPr>
          <w:sz w:val="24"/>
        </w:rPr>
      </w:pPr>
      <w:hyperlink w:anchor="_Toc24081" w:history="1">
        <w:r>
          <w:rPr>
            <w:rFonts w:ascii="仿宋" w:eastAsia="仿宋" w:hAnsi="仿宋" w:hint="eastAsia"/>
            <w:sz w:val="24"/>
          </w:rPr>
          <w:t>九、一般公共预算财政拨款项目支出决算表</w:t>
        </w:r>
        <w:r>
          <w:rPr>
            <w:sz w:val="24"/>
          </w:rPr>
          <w:tab/>
        </w:r>
        <w:r>
          <w:rPr>
            <w:sz w:val="24"/>
          </w:rPr>
          <w:fldChar w:fldCharType="begin"/>
        </w:r>
        <w:r>
          <w:rPr>
            <w:sz w:val="24"/>
          </w:rPr>
          <w:instrText xml:space="preserve"> PAGEREF _Toc24081 </w:instrText>
        </w:r>
        <w:r>
          <w:rPr>
            <w:sz w:val="24"/>
          </w:rPr>
          <w:fldChar w:fldCharType="separate"/>
        </w:r>
        <w:r>
          <w:rPr>
            <w:sz w:val="24"/>
          </w:rPr>
          <w:t>53</w:t>
        </w:r>
        <w:r>
          <w:rPr>
            <w:sz w:val="24"/>
          </w:rPr>
          <w:fldChar w:fldCharType="end"/>
        </w:r>
      </w:hyperlink>
    </w:p>
    <w:p w14:paraId="75565140" w14:textId="77777777" w:rsidR="00D01AA6" w:rsidRDefault="00000000">
      <w:pPr>
        <w:pStyle w:val="TOC2"/>
        <w:tabs>
          <w:tab w:val="right" w:leader="dot" w:pos="8306"/>
        </w:tabs>
        <w:rPr>
          <w:sz w:val="24"/>
        </w:rPr>
      </w:pPr>
      <w:hyperlink w:anchor="_Toc31985" w:history="1">
        <w:r>
          <w:rPr>
            <w:rFonts w:ascii="仿宋" w:eastAsia="仿宋" w:hAnsi="仿宋" w:hint="eastAsia"/>
            <w:sz w:val="24"/>
          </w:rPr>
          <w:t>十、一般公共预算财政拨款“三公”经费支出决算表</w:t>
        </w:r>
        <w:r>
          <w:rPr>
            <w:sz w:val="24"/>
          </w:rPr>
          <w:tab/>
        </w:r>
        <w:r>
          <w:rPr>
            <w:sz w:val="24"/>
          </w:rPr>
          <w:fldChar w:fldCharType="begin"/>
        </w:r>
        <w:r>
          <w:rPr>
            <w:sz w:val="24"/>
          </w:rPr>
          <w:instrText xml:space="preserve"> PAGEREF _Toc31985 </w:instrText>
        </w:r>
        <w:r>
          <w:rPr>
            <w:sz w:val="24"/>
          </w:rPr>
          <w:fldChar w:fldCharType="separate"/>
        </w:r>
        <w:r>
          <w:rPr>
            <w:sz w:val="24"/>
          </w:rPr>
          <w:t>53</w:t>
        </w:r>
        <w:r>
          <w:rPr>
            <w:sz w:val="24"/>
          </w:rPr>
          <w:fldChar w:fldCharType="end"/>
        </w:r>
      </w:hyperlink>
    </w:p>
    <w:p w14:paraId="0B77FE50" w14:textId="77777777" w:rsidR="00D01AA6" w:rsidRDefault="00000000">
      <w:pPr>
        <w:pStyle w:val="TOC2"/>
        <w:tabs>
          <w:tab w:val="right" w:leader="dot" w:pos="8306"/>
        </w:tabs>
        <w:rPr>
          <w:sz w:val="24"/>
        </w:rPr>
      </w:pPr>
      <w:hyperlink w:anchor="_Toc18612" w:history="1">
        <w:r>
          <w:rPr>
            <w:rFonts w:ascii="仿宋" w:eastAsia="仿宋" w:hAnsi="仿宋" w:hint="eastAsia"/>
            <w:sz w:val="24"/>
          </w:rPr>
          <w:t>十一、政府性基金预算财政拨款收入支出决算表</w:t>
        </w:r>
        <w:r>
          <w:rPr>
            <w:sz w:val="24"/>
          </w:rPr>
          <w:tab/>
        </w:r>
        <w:r>
          <w:rPr>
            <w:sz w:val="24"/>
          </w:rPr>
          <w:fldChar w:fldCharType="begin"/>
        </w:r>
        <w:r>
          <w:rPr>
            <w:sz w:val="24"/>
          </w:rPr>
          <w:instrText xml:space="preserve"> PAGEREF _Toc18612 </w:instrText>
        </w:r>
        <w:r>
          <w:rPr>
            <w:sz w:val="24"/>
          </w:rPr>
          <w:fldChar w:fldCharType="separate"/>
        </w:r>
        <w:r>
          <w:rPr>
            <w:sz w:val="24"/>
          </w:rPr>
          <w:t>53</w:t>
        </w:r>
        <w:r>
          <w:rPr>
            <w:sz w:val="24"/>
          </w:rPr>
          <w:fldChar w:fldCharType="end"/>
        </w:r>
      </w:hyperlink>
    </w:p>
    <w:p w14:paraId="1563F27F" w14:textId="77777777" w:rsidR="00D01AA6" w:rsidRDefault="00000000">
      <w:pPr>
        <w:pStyle w:val="TOC2"/>
        <w:tabs>
          <w:tab w:val="right" w:leader="dot" w:pos="8306"/>
        </w:tabs>
        <w:rPr>
          <w:sz w:val="24"/>
        </w:rPr>
      </w:pPr>
      <w:hyperlink w:anchor="_Toc32437" w:history="1">
        <w:r>
          <w:rPr>
            <w:rFonts w:ascii="仿宋" w:eastAsia="仿宋" w:hAnsi="仿宋" w:hint="eastAsia"/>
            <w:sz w:val="24"/>
          </w:rPr>
          <w:t>十二、政府性基金预算财政拨款“三公”经费支出决算表</w:t>
        </w:r>
        <w:r>
          <w:rPr>
            <w:sz w:val="24"/>
          </w:rPr>
          <w:tab/>
        </w:r>
        <w:r>
          <w:rPr>
            <w:sz w:val="24"/>
          </w:rPr>
          <w:fldChar w:fldCharType="begin"/>
        </w:r>
        <w:r>
          <w:rPr>
            <w:sz w:val="24"/>
          </w:rPr>
          <w:instrText xml:space="preserve"> PAGEREF _Toc32437 </w:instrText>
        </w:r>
        <w:r>
          <w:rPr>
            <w:sz w:val="24"/>
          </w:rPr>
          <w:fldChar w:fldCharType="separate"/>
        </w:r>
        <w:r>
          <w:rPr>
            <w:sz w:val="24"/>
          </w:rPr>
          <w:t>53</w:t>
        </w:r>
        <w:r>
          <w:rPr>
            <w:sz w:val="24"/>
          </w:rPr>
          <w:fldChar w:fldCharType="end"/>
        </w:r>
      </w:hyperlink>
    </w:p>
    <w:p w14:paraId="365AA4CA" w14:textId="77777777" w:rsidR="00D01AA6" w:rsidRDefault="00000000">
      <w:pPr>
        <w:pStyle w:val="TOC2"/>
        <w:tabs>
          <w:tab w:val="right" w:leader="dot" w:pos="8306"/>
        </w:tabs>
        <w:rPr>
          <w:sz w:val="24"/>
        </w:rPr>
      </w:pPr>
      <w:hyperlink w:anchor="_Toc6531" w:history="1">
        <w:r>
          <w:rPr>
            <w:rFonts w:ascii="仿宋" w:eastAsia="仿宋" w:hAnsi="仿宋" w:hint="eastAsia"/>
            <w:sz w:val="24"/>
          </w:rPr>
          <w:t>十三、国有资本经营预算财政拨款收入支出决算表</w:t>
        </w:r>
        <w:r>
          <w:rPr>
            <w:sz w:val="24"/>
          </w:rPr>
          <w:tab/>
        </w:r>
        <w:r>
          <w:rPr>
            <w:sz w:val="24"/>
          </w:rPr>
          <w:fldChar w:fldCharType="begin"/>
        </w:r>
        <w:r>
          <w:rPr>
            <w:sz w:val="24"/>
          </w:rPr>
          <w:instrText xml:space="preserve"> PAGEREF _Toc6531 </w:instrText>
        </w:r>
        <w:r>
          <w:rPr>
            <w:sz w:val="24"/>
          </w:rPr>
          <w:fldChar w:fldCharType="separate"/>
        </w:r>
        <w:r>
          <w:rPr>
            <w:sz w:val="24"/>
          </w:rPr>
          <w:t>53</w:t>
        </w:r>
        <w:r>
          <w:rPr>
            <w:sz w:val="24"/>
          </w:rPr>
          <w:fldChar w:fldCharType="end"/>
        </w:r>
      </w:hyperlink>
    </w:p>
    <w:p w14:paraId="4E70AB21" w14:textId="77777777" w:rsidR="00D01AA6" w:rsidRDefault="00000000">
      <w:pPr>
        <w:rPr>
          <w:sz w:val="24"/>
        </w:rPr>
      </w:pPr>
      <w:r>
        <w:rPr>
          <w:rFonts w:hint="eastAsia"/>
          <w:sz w:val="24"/>
        </w:rPr>
        <w:t xml:space="preserve">   </w:t>
      </w:r>
      <w:hyperlink w:anchor="_Toc6531" w:history="1">
        <w:r>
          <w:rPr>
            <w:rFonts w:ascii="仿宋" w:eastAsia="仿宋" w:hAnsi="仿宋" w:hint="eastAsia"/>
            <w:sz w:val="24"/>
          </w:rPr>
          <w:t>十四、国有资本经营预算财政拨款收入支出决算表.......... .........</w:t>
        </w:r>
        <w:r>
          <w:rPr>
            <w:sz w:val="24"/>
          </w:rPr>
          <w:fldChar w:fldCharType="begin"/>
        </w:r>
        <w:r>
          <w:rPr>
            <w:sz w:val="24"/>
          </w:rPr>
          <w:instrText xml:space="preserve"> PAGEREF _Toc6531 </w:instrText>
        </w:r>
        <w:r>
          <w:rPr>
            <w:sz w:val="24"/>
          </w:rPr>
          <w:fldChar w:fldCharType="separate"/>
        </w:r>
        <w:r>
          <w:rPr>
            <w:sz w:val="24"/>
          </w:rPr>
          <w:t>53</w:t>
        </w:r>
        <w:r>
          <w:rPr>
            <w:sz w:val="24"/>
          </w:rPr>
          <w:fldChar w:fldCharType="end"/>
        </w:r>
      </w:hyperlink>
      <w:r>
        <w:rPr>
          <w:sz w:val="24"/>
        </w:rPr>
        <w:fldChar w:fldCharType="end"/>
      </w:r>
    </w:p>
    <w:p w14:paraId="5361F158" w14:textId="77777777" w:rsidR="00D01AA6" w:rsidRDefault="00000000">
      <w:pPr>
        <w:widowControl/>
        <w:spacing w:line="440" w:lineRule="exact"/>
        <w:jc w:val="left"/>
        <w:rPr>
          <w:rFonts w:ascii="仿宋" w:eastAsia="仿宋" w:hAnsi="仿宋"/>
          <w:bCs/>
          <w:kern w:val="44"/>
          <w:sz w:val="24"/>
        </w:rPr>
      </w:pPr>
      <w:bookmarkStart w:id="16" w:name="_Toc15377196"/>
      <w:bookmarkStart w:id="17" w:name="_Toc15396599"/>
      <w:r>
        <w:rPr>
          <w:rFonts w:ascii="仿宋" w:eastAsia="仿宋" w:hAnsi="仿宋"/>
          <w:b/>
          <w:sz w:val="24"/>
        </w:rPr>
        <w:br w:type="page"/>
      </w:r>
    </w:p>
    <w:p w14:paraId="6F74AD6F" w14:textId="77777777" w:rsidR="00D01AA6" w:rsidRDefault="00000000">
      <w:pPr>
        <w:pStyle w:val="1"/>
        <w:jc w:val="center"/>
        <w:rPr>
          <w:rStyle w:val="10"/>
          <w:rFonts w:ascii="黑体" w:eastAsia="黑体" w:hAnsi="黑体"/>
          <w:b/>
        </w:rPr>
      </w:pPr>
      <w:bookmarkStart w:id="18" w:name="_Toc21984"/>
      <w:r>
        <w:rPr>
          <w:rFonts w:ascii="黑体" w:eastAsia="黑体" w:hAnsi="黑体" w:hint="eastAsia"/>
          <w:b w:val="0"/>
        </w:rPr>
        <w:t xml:space="preserve">第一部分 </w:t>
      </w:r>
      <w:r>
        <w:rPr>
          <w:rStyle w:val="10"/>
          <w:rFonts w:ascii="黑体" w:eastAsia="黑体" w:hAnsi="黑体" w:hint="eastAsia"/>
        </w:rPr>
        <w:t>部门概况</w:t>
      </w:r>
      <w:bookmarkEnd w:id="16"/>
      <w:bookmarkEnd w:id="17"/>
      <w:bookmarkEnd w:id="18"/>
    </w:p>
    <w:p w14:paraId="6A2E6DD0" w14:textId="77777777" w:rsidR="00D01AA6" w:rsidRDefault="00D01AA6">
      <w:pPr>
        <w:widowControl/>
        <w:jc w:val="left"/>
        <w:rPr>
          <w:rFonts w:ascii="黑体" w:eastAsia="黑体"/>
          <w:sz w:val="32"/>
          <w:szCs w:val="32"/>
        </w:rPr>
      </w:pPr>
    </w:p>
    <w:p w14:paraId="1237B362" w14:textId="77777777" w:rsidR="00D01AA6" w:rsidRDefault="00000000">
      <w:pPr>
        <w:pStyle w:val="2"/>
        <w:rPr>
          <w:rStyle w:val="20"/>
          <w:rFonts w:ascii="仿宋" w:eastAsia="仿宋" w:hAnsi="仿宋"/>
        </w:rPr>
      </w:pPr>
      <w:bookmarkStart w:id="19" w:name="_Toc15396600"/>
      <w:bookmarkStart w:id="20" w:name="_Toc15377197"/>
      <w:bookmarkStart w:id="21" w:name="_Toc5077"/>
      <w:r>
        <w:rPr>
          <w:rFonts w:ascii="黑体" w:eastAsia="黑体" w:hAnsi="黑体" w:hint="eastAsia"/>
          <w:b w:val="0"/>
        </w:rPr>
        <w:t>一、基</w:t>
      </w:r>
      <w:r>
        <w:rPr>
          <w:rStyle w:val="20"/>
          <w:rFonts w:ascii="黑体" w:eastAsia="黑体" w:hAnsi="黑体" w:hint="eastAsia"/>
        </w:rPr>
        <w:t>本职能及主要工作</w:t>
      </w:r>
      <w:bookmarkEnd w:id="19"/>
      <w:bookmarkEnd w:id="20"/>
      <w:bookmarkEnd w:id="21"/>
    </w:p>
    <w:p w14:paraId="7DE982E0" w14:textId="77777777" w:rsidR="00D01AA6" w:rsidRDefault="00000000">
      <w:pPr>
        <w:pStyle w:val="a3"/>
        <w:adjustRightInd w:val="0"/>
        <w:snapToGrid w:val="0"/>
        <w:spacing w:before="93" w:line="600" w:lineRule="exact"/>
        <w:ind w:firstLineChars="210" w:firstLine="672"/>
        <w:outlineLvl w:val="2"/>
        <w:rPr>
          <w:rFonts w:ascii="仿宋" w:eastAsia="仿宋" w:hAnsi="仿宋"/>
          <w:bCs/>
          <w:sz w:val="32"/>
          <w:szCs w:val="32"/>
        </w:rPr>
      </w:pPr>
      <w:bookmarkStart w:id="22" w:name="_Toc15377198"/>
      <w:bookmarkStart w:id="23" w:name="_Toc15378445"/>
      <w:r>
        <w:rPr>
          <w:rFonts w:ascii="仿宋" w:eastAsia="仿宋" w:hAnsi="仿宋" w:hint="eastAsia"/>
          <w:bCs/>
          <w:sz w:val="32"/>
          <w:szCs w:val="32"/>
        </w:rPr>
        <w:t>（一）主要职能。</w:t>
      </w:r>
    </w:p>
    <w:p w14:paraId="024EC822" w14:textId="77777777" w:rsidR="00D01AA6" w:rsidRDefault="00000000">
      <w:pPr>
        <w:pStyle w:val="a3"/>
        <w:adjustRightInd w:val="0"/>
        <w:snapToGrid w:val="0"/>
        <w:spacing w:before="93" w:line="600" w:lineRule="exact"/>
        <w:ind w:firstLineChars="210" w:firstLine="672"/>
        <w:outlineLvl w:val="2"/>
        <w:rPr>
          <w:rFonts w:ascii="仿宋" w:eastAsia="仿宋" w:hAnsi="仿宋"/>
          <w:bCs/>
          <w:color w:val="000000"/>
          <w:sz w:val="32"/>
          <w:szCs w:val="32"/>
        </w:rPr>
      </w:pPr>
      <w:bookmarkStart w:id="24" w:name="_Toc15378446"/>
      <w:bookmarkStart w:id="25" w:name="_Toc15377199"/>
      <w:bookmarkEnd w:id="22"/>
      <w:bookmarkEnd w:id="23"/>
      <w:r>
        <w:rPr>
          <w:rFonts w:ascii="仿宋" w:eastAsia="仿宋" w:hAnsi="仿宋" w:hint="eastAsia"/>
          <w:bCs/>
          <w:color w:val="000000"/>
          <w:sz w:val="32"/>
          <w:szCs w:val="32"/>
        </w:rPr>
        <w:t>凉山州文学艺术界联合会是州委和州政府联系文艺界的桥梁和纽带，是全州性文学艺术家协会和各县、市及大型企业（行业）文学艺术界的联合组织，系群众团体组织。主要职责是：</w:t>
      </w:r>
    </w:p>
    <w:p w14:paraId="23608477" w14:textId="77777777" w:rsidR="00D01AA6" w:rsidRDefault="00000000">
      <w:pPr>
        <w:pStyle w:val="a3"/>
        <w:adjustRightInd w:val="0"/>
        <w:snapToGrid w:val="0"/>
        <w:spacing w:before="93" w:line="600" w:lineRule="exact"/>
        <w:ind w:firstLineChars="200" w:firstLine="640"/>
        <w:outlineLvl w:val="2"/>
        <w:rPr>
          <w:rFonts w:ascii="仿宋" w:eastAsia="仿宋" w:hAnsi="仿宋"/>
          <w:bCs/>
          <w:color w:val="000000"/>
          <w:sz w:val="32"/>
          <w:szCs w:val="32"/>
        </w:rPr>
      </w:pPr>
      <w:r>
        <w:rPr>
          <w:rFonts w:ascii="仿宋" w:eastAsia="仿宋" w:hAnsi="仿宋" w:hint="eastAsia"/>
          <w:bCs/>
          <w:color w:val="000000"/>
          <w:sz w:val="32"/>
          <w:szCs w:val="32"/>
        </w:rPr>
        <w:t>1.贯彻执行党的文艺方针、政策，负责对州级各文艺团体和各县市文联工作的指导、联络、协调、服务工作，听取和反映文艺界的情况和意见。</w:t>
      </w:r>
    </w:p>
    <w:p w14:paraId="48C680FB" w14:textId="77777777" w:rsidR="00D01AA6" w:rsidRDefault="000000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2.组织召开凉山州文联代表大会、委员会和主席团会议以及全州性文艺家协会代表大会；组织召开全州文联系统的工作和学术研讨等会议。</w:t>
      </w:r>
    </w:p>
    <w:p w14:paraId="024EED10" w14:textId="77777777" w:rsidR="00D01AA6" w:rsidRDefault="000000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3.制订并组织实施重大的文艺活动和创作规划；组织广大文艺工作者深入社会生活，加强艺术实践；培养优秀人才，创作文艺精品。</w:t>
      </w:r>
    </w:p>
    <w:p w14:paraId="28E9240E" w14:textId="77777777" w:rsidR="00D01AA6" w:rsidRDefault="000000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4.抓好文艺理论研究工作；办好文艺刊物、报纸，组织实施各类文艺评奖活动，对全州各种优秀文艺成果给予奖励</w:t>
      </w:r>
      <w:r>
        <w:rPr>
          <w:rFonts w:ascii="仿宋" w:eastAsia="仿宋" w:hAnsi="仿宋" w:hint="eastAsia"/>
          <w:bCs/>
          <w:color w:val="000000"/>
          <w:sz w:val="32"/>
          <w:szCs w:val="32"/>
        </w:rPr>
        <w:lastRenderedPageBreak/>
        <w:t>和表彰。</w:t>
      </w:r>
    </w:p>
    <w:p w14:paraId="1318EB22" w14:textId="77777777" w:rsidR="00D01AA6" w:rsidRDefault="000000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5.会同各团体会员，扩大和加强同各地、市、州文学艺术团体和文艺界人士的联系；积极开展文化艺术交流。</w:t>
      </w:r>
    </w:p>
    <w:p w14:paraId="3E012AC1" w14:textId="77777777" w:rsidR="00D01AA6" w:rsidRDefault="000000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6.开展维护文学艺术家和文艺团体知识产权等正当权益的工作。</w:t>
      </w:r>
    </w:p>
    <w:p w14:paraId="4DD1F8D1" w14:textId="77777777" w:rsidR="00D01AA6" w:rsidRDefault="00000000">
      <w:pPr>
        <w:pStyle w:val="a3"/>
        <w:adjustRightInd w:val="0"/>
        <w:snapToGrid w:val="0"/>
        <w:spacing w:before="93" w:line="600" w:lineRule="exact"/>
        <w:ind w:firstLineChars="200" w:firstLine="640"/>
        <w:jc w:val="left"/>
        <w:outlineLvl w:val="2"/>
        <w:rPr>
          <w:rFonts w:ascii="仿宋" w:eastAsia="仿宋" w:hAnsi="仿宋"/>
          <w:bCs/>
          <w:color w:val="000000"/>
          <w:sz w:val="32"/>
          <w:szCs w:val="32"/>
        </w:rPr>
      </w:pPr>
      <w:r>
        <w:rPr>
          <w:rFonts w:ascii="仿宋" w:eastAsia="仿宋" w:hAnsi="仿宋" w:hint="eastAsia"/>
          <w:bCs/>
          <w:color w:val="000000"/>
          <w:sz w:val="32"/>
          <w:szCs w:val="32"/>
        </w:rPr>
        <w:t>7.负责对团体会员的服务工作；帮助各团体会员改善文艺家的工作条件。</w:t>
      </w:r>
    </w:p>
    <w:p w14:paraId="0B434771" w14:textId="77777777" w:rsidR="00D01AA6" w:rsidRDefault="00000000">
      <w:pPr>
        <w:pStyle w:val="a3"/>
        <w:adjustRightInd w:val="0"/>
        <w:snapToGrid w:val="0"/>
        <w:spacing w:before="93" w:line="600" w:lineRule="exact"/>
        <w:ind w:firstLineChars="210" w:firstLine="672"/>
        <w:outlineLvl w:val="2"/>
        <w:rPr>
          <w:rFonts w:ascii="仿宋" w:eastAsia="仿宋" w:hAnsi="仿宋"/>
          <w:bCs/>
          <w:color w:val="000000"/>
          <w:sz w:val="32"/>
          <w:szCs w:val="32"/>
        </w:rPr>
      </w:pPr>
      <w:r>
        <w:rPr>
          <w:rFonts w:ascii="仿宋" w:eastAsia="仿宋" w:hAnsi="仿宋" w:hint="eastAsia"/>
          <w:bCs/>
          <w:color w:val="000000"/>
          <w:sz w:val="32"/>
          <w:szCs w:val="32"/>
        </w:rPr>
        <w:t>8.承担州委、州政府交办的有关事项。</w:t>
      </w:r>
    </w:p>
    <w:p w14:paraId="2F18618A" w14:textId="77777777" w:rsidR="00D01AA6" w:rsidRDefault="00000000">
      <w:pPr>
        <w:pStyle w:val="a3"/>
        <w:adjustRightInd w:val="0"/>
        <w:snapToGrid w:val="0"/>
        <w:spacing w:before="93" w:line="600" w:lineRule="exact"/>
        <w:ind w:firstLineChars="210" w:firstLine="672"/>
        <w:outlineLvl w:val="2"/>
        <w:rPr>
          <w:rFonts w:ascii="仿宋" w:eastAsia="仿宋" w:hAnsi="仿宋"/>
          <w:bCs/>
          <w:sz w:val="32"/>
          <w:szCs w:val="32"/>
        </w:rPr>
      </w:pPr>
      <w:r>
        <w:rPr>
          <w:rFonts w:ascii="仿宋" w:eastAsia="仿宋" w:hAnsi="仿宋" w:hint="eastAsia"/>
          <w:bCs/>
          <w:sz w:val="32"/>
          <w:szCs w:val="32"/>
        </w:rPr>
        <w:t>（二）</w:t>
      </w:r>
      <w:r>
        <w:rPr>
          <w:rFonts w:ascii="仿宋" w:eastAsia="仿宋" w:hAnsi="仿宋"/>
          <w:bCs/>
          <w:sz w:val="32"/>
          <w:szCs w:val="32"/>
        </w:rPr>
        <w:t>20</w:t>
      </w:r>
      <w:r>
        <w:rPr>
          <w:rFonts w:ascii="仿宋" w:eastAsia="仿宋" w:hAnsi="仿宋" w:hint="eastAsia"/>
          <w:bCs/>
          <w:sz w:val="32"/>
          <w:szCs w:val="32"/>
        </w:rPr>
        <w:t>21年重点工作完成情况。</w:t>
      </w:r>
      <w:bookmarkEnd w:id="24"/>
      <w:bookmarkEnd w:id="25"/>
    </w:p>
    <w:p w14:paraId="5562BA68" w14:textId="77777777" w:rsidR="00D01AA6"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年来，州文联结合自身工作特点，立足工作实际，通过各种形式的文艺活动，用文艺讲好百年党史故事，大力唱响同心向党主旋律，以活动促创作，以活动促发展，不断满足群众精神文化生活，不断促进我州文艺事业繁荣发展。</w:t>
      </w:r>
      <w:r>
        <w:rPr>
          <w:rFonts w:ascii="仿宋_GB2312" w:eastAsia="仿宋_GB2312" w:hAnsi="仿宋_GB2312" w:cs="仿宋_GB2312" w:hint="eastAsia"/>
          <w:b/>
          <w:bCs/>
          <w:sz w:val="32"/>
          <w:szCs w:val="32"/>
        </w:rPr>
        <w:t>一是围绕建党</w:t>
      </w:r>
      <w:r>
        <w:rPr>
          <w:rFonts w:ascii="仿宋_GB2312" w:eastAsia="仿宋_GB2312" w:hAnsi="仿宋_GB2312" w:cs="仿宋_GB2312"/>
          <w:b/>
          <w:bCs/>
          <w:sz w:val="32"/>
          <w:szCs w:val="32"/>
        </w:rPr>
        <w:t>100</w:t>
      </w:r>
      <w:r>
        <w:rPr>
          <w:rFonts w:ascii="仿宋_GB2312" w:eastAsia="仿宋_GB2312" w:hAnsi="仿宋_GB2312" w:cs="仿宋_GB2312" w:hint="eastAsia"/>
          <w:b/>
          <w:bCs/>
          <w:sz w:val="32"/>
          <w:szCs w:val="32"/>
        </w:rPr>
        <w:t>周年开展系列文艺活动，持续营造党史学习教育的浓厚氛围。</w:t>
      </w:r>
      <w:r>
        <w:rPr>
          <w:rFonts w:ascii="仿宋_GB2312" w:eastAsia="仿宋_GB2312" w:hAnsi="仿宋_GB2312" w:cs="仿宋_GB2312" w:hint="eastAsia"/>
          <w:sz w:val="32"/>
          <w:szCs w:val="32"/>
        </w:rPr>
        <w:t>围绕党史学习教育、建党</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周年主题，举办“看见凉山：脱贫攻坚奔小康”摄影展、第六届全国支格阿鲁彝文书法作品展、“童心向党</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筑梦未来”</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凉山州庆祝建党</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周年关心下一代</w:t>
      </w:r>
      <w:r>
        <w:rPr>
          <w:rFonts w:ascii="仿宋_GB2312" w:eastAsia="仿宋_GB2312" w:hAnsi="仿宋_GB2312" w:cs="仿宋_GB2312" w:hint="eastAsia"/>
          <w:sz w:val="32"/>
          <w:szCs w:val="32"/>
          <w:shd w:val="clear" w:color="auto" w:fill="FFFFFF"/>
        </w:rPr>
        <w:t>摄影展、凉山州第三届全民手机摄影展、庆祝建党</w:t>
      </w:r>
      <w:r>
        <w:rPr>
          <w:rFonts w:ascii="仿宋_GB2312" w:eastAsia="仿宋_GB2312" w:hAnsi="仿宋_GB2312" w:cs="仿宋_GB2312"/>
          <w:sz w:val="32"/>
          <w:szCs w:val="32"/>
          <w:shd w:val="clear" w:color="auto" w:fill="FFFFFF"/>
        </w:rPr>
        <w:t>100</w:t>
      </w:r>
      <w:r>
        <w:rPr>
          <w:rFonts w:ascii="仿宋_GB2312" w:eastAsia="仿宋_GB2312" w:hAnsi="仿宋_GB2312" w:cs="仿宋_GB2312" w:hint="eastAsia"/>
          <w:sz w:val="32"/>
          <w:szCs w:val="32"/>
          <w:shd w:val="clear" w:color="auto" w:fill="FFFFFF"/>
        </w:rPr>
        <w:t>周年美术书法摄影精品展、凉山</w:t>
      </w:r>
      <w:r>
        <w:rPr>
          <w:rFonts w:ascii="仿宋_GB2312" w:eastAsia="仿宋_GB2312" w:hAnsi="仿宋_GB2312" w:cs="仿宋_GB2312" w:hint="eastAsia"/>
          <w:sz w:val="32"/>
          <w:szCs w:val="32"/>
        </w:rPr>
        <w:t>州第二届临书临印展等</w:t>
      </w:r>
      <w:r>
        <w:rPr>
          <w:rFonts w:ascii="仿宋_GB2312" w:eastAsia="仿宋_GB2312" w:hAnsi="仿宋_GB2312" w:cs="仿宋_GB2312"/>
          <w:sz w:val="32"/>
          <w:szCs w:val="32"/>
        </w:rPr>
        <w:t>60</w:t>
      </w:r>
      <w:r>
        <w:rPr>
          <w:rFonts w:ascii="仿宋_GB2312" w:eastAsia="仿宋_GB2312" w:hAnsi="仿宋_GB2312" w:cs="仿宋_GB2312" w:hint="eastAsia"/>
          <w:sz w:val="32"/>
          <w:szCs w:val="32"/>
        </w:rPr>
        <w:t>余项大型主题文艺展览展演活动。</w:t>
      </w:r>
      <w:r>
        <w:rPr>
          <w:rFonts w:ascii="仿宋_GB2312" w:eastAsia="仿宋_GB2312" w:hAnsi="仿宋_GB2312" w:cs="仿宋_GB2312" w:hint="eastAsia"/>
          <w:b/>
          <w:bCs/>
          <w:sz w:val="32"/>
          <w:szCs w:val="32"/>
        </w:rPr>
        <w:t>二是成功举办四川省第六届汉彝双语演讲比赛。</w:t>
      </w:r>
      <w:r>
        <w:rPr>
          <w:rFonts w:ascii="仿宋_GB2312" w:eastAsia="仿宋_GB2312" w:hAnsi="仿宋_GB2312" w:cs="仿宋_GB2312" w:hint="eastAsia"/>
          <w:sz w:val="32"/>
          <w:szCs w:val="32"/>
        </w:rPr>
        <w:t>通过语言这一重要桥梁和载体，加强了我省特别是大小凉山彝区各民族交往交流交融，增进了各民族团结。</w:t>
      </w:r>
      <w:r>
        <w:rPr>
          <w:rFonts w:ascii="仿宋_GB2312" w:eastAsia="仿宋_GB2312" w:hAnsi="仿宋_GB2312" w:cs="仿宋_GB2312" w:hint="eastAsia"/>
          <w:b/>
          <w:bCs/>
          <w:sz w:val="32"/>
          <w:szCs w:val="32"/>
        </w:rPr>
        <w:t>三是成功举办中国音乐</w:t>
      </w:r>
      <w:r>
        <w:rPr>
          <w:rFonts w:ascii="仿宋_GB2312" w:eastAsia="仿宋_GB2312" w:hAnsi="仿宋_GB2312" w:cs="仿宋_GB2312" w:hint="eastAsia"/>
          <w:b/>
          <w:bCs/>
          <w:sz w:val="32"/>
          <w:szCs w:val="32"/>
        </w:rPr>
        <w:lastRenderedPageBreak/>
        <w:t>家协会“第七期全国优秀青年词曲作家（少数民族）高级研修班”。</w:t>
      </w:r>
      <w:r>
        <w:rPr>
          <w:rFonts w:ascii="仿宋_GB2312" w:eastAsia="仿宋_GB2312" w:hAnsi="仿宋_GB2312" w:cs="仿宋_GB2312" w:hint="eastAsia"/>
          <w:sz w:val="32"/>
          <w:szCs w:val="32"/>
        </w:rPr>
        <w:t>来自全国各地的</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余名青年词曲作家，齐聚凉山，集中学习，深入交流、研讨少数民族音乐创作的现状，共商少数民族音乐事业发展大计，推动了我州少数民族音乐的进一步发展。</w:t>
      </w:r>
      <w:r>
        <w:rPr>
          <w:rFonts w:ascii="仿宋_GB2312" w:eastAsia="仿宋_GB2312" w:hAnsi="仿宋_GB2312" w:cs="仿宋_GB2312" w:hint="eastAsia"/>
          <w:b/>
          <w:bCs/>
          <w:sz w:val="32"/>
          <w:szCs w:val="32"/>
        </w:rPr>
        <w:t>四是深化合作交流。</w:t>
      </w:r>
      <w:r>
        <w:rPr>
          <w:rFonts w:ascii="仿宋_GB2312" w:eastAsia="仿宋_GB2312" w:hAnsi="仿宋_GB2312" w:cs="仿宋_GB2312" w:hint="eastAsia"/>
          <w:sz w:val="32"/>
          <w:szCs w:val="32"/>
        </w:rPr>
        <w:t>与宁波市文联积极对接，达成宁波凉山两地缔结友好文联，两地文联将在体系建设、人才培养、文艺创作、展览展演等方面加强深度合作；与西华大学艺术学院等高等院校达成交流合作，为凉山文艺事业发展提供智力保障。</w:t>
      </w:r>
      <w:r>
        <w:rPr>
          <w:rFonts w:ascii="仿宋_GB2312" w:eastAsia="仿宋_GB2312" w:hAnsi="仿宋_GB2312" w:cs="仿宋_GB2312" w:hint="eastAsia"/>
          <w:b/>
          <w:bCs/>
          <w:sz w:val="32"/>
          <w:szCs w:val="32"/>
        </w:rPr>
        <w:t>五是文艺创作有序开展。</w:t>
      </w:r>
      <w:r>
        <w:rPr>
          <w:rFonts w:ascii="仿宋_GB2312" w:eastAsia="仿宋_GB2312" w:hAnsi="仿宋_GB2312" w:cs="仿宋_GB2312" w:hint="eastAsia"/>
          <w:sz w:val="32"/>
          <w:szCs w:val="32"/>
        </w:rPr>
        <w:t>坚持以人民为中心的创作导向，围绕乡村振兴、庆祝建党</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周年等时代主题，策划开展文学、美术、音乐、书法、摄影等系列文艺采风创作活动</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余场。</w:t>
      </w:r>
      <w:r>
        <w:rPr>
          <w:rFonts w:ascii="仿宋_GB2312" w:eastAsia="仿宋_GB2312" w:hAnsi="仿宋_GB2312" w:cs="仿宋_GB2312" w:hint="eastAsia"/>
          <w:b/>
          <w:bCs/>
          <w:sz w:val="32"/>
          <w:szCs w:val="32"/>
        </w:rPr>
        <w:t>六是文艺精品创作硕果累累。</w:t>
      </w:r>
      <w:r>
        <w:rPr>
          <w:rFonts w:ascii="仿宋_GB2312" w:eastAsia="仿宋_GB2312" w:hAnsi="仿宋_GB2312" w:cs="仿宋_GB2312" w:hint="eastAsia"/>
          <w:sz w:val="32"/>
          <w:szCs w:val="32"/>
        </w:rPr>
        <w:t>一年来，州文联通过强基础、建阵地、活载体等方式，推动凉山文艺家收获了一大批深受群众喜爱、具有强烈时代气息和凉山特色的原创文艺精品，共获得</w:t>
      </w:r>
      <w:r>
        <w:rPr>
          <w:rFonts w:ascii="仿宋_GB2312" w:eastAsia="仿宋_GB2312" w:hAnsi="仿宋_GB2312" w:cs="仿宋_GB2312"/>
          <w:sz w:val="32"/>
          <w:szCs w:val="32"/>
        </w:rPr>
        <w:t>30</w:t>
      </w:r>
      <w:r>
        <w:rPr>
          <w:rFonts w:ascii="仿宋_GB2312" w:eastAsia="仿宋_GB2312" w:hAnsi="仿宋_GB2312" w:cs="仿宋_GB2312" w:hint="eastAsia"/>
          <w:sz w:val="32"/>
          <w:szCs w:val="32"/>
        </w:rPr>
        <w:t>余项省级、国家级奖项。如文学作品《悬崖村》《檐上的月亮》获得第十届四川文学奖，《天梯</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来自大凉山阿土勒尔村的脱贫攻坚故事》《我的父亲王不死》获得第八届四川省少数民族文学创作优秀作品奖；音乐作品《彝家幸福谣》入选中国音协主办的庆祝中国共产党成立</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周年“百年百首”全国优秀新创歌曲，并受到中央电视台专题报道，音乐作品《那一抹红》入围“四川十大歌曲”。</w:t>
      </w:r>
      <w:r>
        <w:rPr>
          <w:rFonts w:ascii="仿宋_GB2312" w:eastAsia="仿宋_GB2312" w:hAnsi="仿宋_GB2312" w:cs="仿宋_GB2312" w:hint="eastAsia"/>
          <w:b/>
          <w:bCs/>
          <w:sz w:val="32"/>
          <w:szCs w:val="32"/>
        </w:rPr>
        <w:t>七是文艺人才队伍培养成效显著。</w:t>
      </w:r>
      <w:r>
        <w:rPr>
          <w:rFonts w:ascii="仿宋_GB2312" w:eastAsia="仿宋_GB2312" w:hAnsi="仿宋_GB2312" w:cs="仿宋_GB2312" w:hint="eastAsia"/>
          <w:sz w:val="32"/>
          <w:szCs w:val="32"/>
        </w:rPr>
        <w:t>大力实施文艺人才培养工程，联合有关协会先后开展了多期文艺人才骨干队伍培训班、研修班，选派优秀青年文艺人才“走出去”，</w:t>
      </w:r>
      <w:r>
        <w:rPr>
          <w:rFonts w:ascii="仿宋_GB2312" w:eastAsia="仿宋_GB2312" w:hAnsi="仿宋_GB2312" w:cs="仿宋_GB2312" w:hint="eastAsia"/>
          <w:sz w:val="32"/>
          <w:szCs w:val="32"/>
        </w:rPr>
        <w:lastRenderedPageBreak/>
        <w:t>拓宽眼界、提升创作水平，文艺人才队伍不断壮大。全年新发展州级会员</w:t>
      </w:r>
      <w:r>
        <w:rPr>
          <w:rFonts w:ascii="仿宋_GB2312" w:eastAsia="仿宋_GB2312" w:hAnsi="仿宋_GB2312" w:cs="仿宋_GB2312"/>
          <w:sz w:val="32"/>
          <w:szCs w:val="32"/>
        </w:rPr>
        <w:t>128</w:t>
      </w:r>
      <w:r>
        <w:rPr>
          <w:rFonts w:ascii="仿宋_GB2312" w:eastAsia="仿宋_GB2312" w:hAnsi="仿宋_GB2312" w:cs="仿宋_GB2312" w:hint="eastAsia"/>
          <w:sz w:val="32"/>
          <w:szCs w:val="32"/>
        </w:rPr>
        <w:t>人，省级会员</w:t>
      </w:r>
      <w:r>
        <w:rPr>
          <w:rFonts w:ascii="仿宋_GB2312" w:eastAsia="仿宋_GB2312" w:hAnsi="仿宋_GB2312" w:cs="仿宋_GB2312"/>
          <w:sz w:val="32"/>
          <w:szCs w:val="32"/>
        </w:rPr>
        <w:t>85</w:t>
      </w:r>
      <w:r>
        <w:rPr>
          <w:rFonts w:ascii="仿宋_GB2312" w:eastAsia="仿宋_GB2312" w:hAnsi="仿宋_GB2312" w:cs="仿宋_GB2312" w:hint="eastAsia"/>
          <w:sz w:val="32"/>
          <w:szCs w:val="32"/>
        </w:rPr>
        <w:t>人，国家级会员</w:t>
      </w:r>
      <w:r>
        <w:rPr>
          <w:rFonts w:ascii="仿宋_GB2312" w:eastAsia="仿宋_GB2312" w:hAnsi="仿宋_GB2312" w:cs="仿宋_GB2312"/>
          <w:sz w:val="32"/>
          <w:szCs w:val="32"/>
        </w:rPr>
        <w:t>8</w:t>
      </w:r>
      <w:r>
        <w:rPr>
          <w:rFonts w:ascii="仿宋_GB2312" w:eastAsia="仿宋_GB2312" w:hAnsi="仿宋_GB2312" w:cs="仿宋_GB2312" w:hint="eastAsia"/>
          <w:sz w:val="32"/>
          <w:szCs w:val="32"/>
        </w:rPr>
        <w:t>人。</w:t>
      </w:r>
    </w:p>
    <w:p w14:paraId="4796085D" w14:textId="77777777" w:rsidR="00D01AA6" w:rsidRDefault="00000000">
      <w:pPr>
        <w:pStyle w:val="a3"/>
        <w:adjustRightInd w:val="0"/>
        <w:snapToGrid w:val="0"/>
        <w:spacing w:before="93" w:line="600" w:lineRule="exact"/>
        <w:ind w:firstLineChars="210" w:firstLine="672"/>
        <w:outlineLvl w:val="2"/>
        <w:rPr>
          <w:rFonts w:ascii="仿宋" w:eastAsia="仿宋" w:hAnsi="仿宋"/>
          <w:bCs/>
          <w:sz w:val="32"/>
          <w:szCs w:val="32"/>
        </w:rPr>
      </w:pPr>
      <w:r>
        <w:rPr>
          <w:rFonts w:hAnsi="仿宋_GB2312" w:cs="仿宋_GB2312" w:hint="eastAsia"/>
          <w:color w:val="191919"/>
          <w:sz w:val="32"/>
          <w:szCs w:val="32"/>
          <w:shd w:val="clear" w:color="auto" w:fill="FFFFFF"/>
        </w:rPr>
        <w:t>州文联文联办刊办网水平进一步提升，一刊一网一号功能设置、信息融合进一步加强，成为了解凉山文艺动态、推介凉山文艺的重要窗口和平台。《凉山文艺》办刊质量不断提高、广受好评。</w:t>
      </w:r>
      <w:r>
        <w:rPr>
          <w:rFonts w:hAnsi="仿宋_GB2312" w:cs="仿宋_GB2312" w:hint="eastAsia"/>
          <w:b/>
          <w:bCs/>
          <w:color w:val="000000"/>
          <w:sz w:val="32"/>
          <w:szCs w:val="32"/>
          <w:shd w:val="clear" w:color="auto" w:fill="FFFFFF"/>
        </w:rPr>
        <w:t>一是新媒体传播影响力不断提升</w:t>
      </w:r>
      <w:r>
        <w:rPr>
          <w:rFonts w:hAnsi="仿宋_GB2312" w:cs="仿宋_GB2312" w:hint="eastAsia"/>
          <w:color w:val="000000"/>
          <w:sz w:val="32"/>
          <w:szCs w:val="32"/>
          <w:shd w:val="clear" w:color="auto" w:fill="FFFFFF"/>
        </w:rPr>
        <w:t>。通过完善联络员制度，开设专题专栏，推介优秀文艺人才和作品等举措不断加强新媒体平台建设，扩大文艺宣传力量。同时，聚焦重大文艺活动、文艺采风和重点作品，不断增强舆论评论引导力。经过</w:t>
      </w:r>
      <w:r>
        <w:rPr>
          <w:rFonts w:hAnsi="仿宋_GB2312" w:cs="仿宋_GB2312"/>
          <w:color w:val="000000"/>
          <w:sz w:val="32"/>
          <w:szCs w:val="32"/>
          <w:shd w:val="clear" w:color="auto" w:fill="FFFFFF"/>
        </w:rPr>
        <w:t>3</w:t>
      </w:r>
      <w:r>
        <w:rPr>
          <w:rFonts w:hAnsi="仿宋_GB2312" w:cs="仿宋_GB2312" w:hint="eastAsia"/>
          <w:color w:val="000000"/>
          <w:sz w:val="32"/>
          <w:szCs w:val="32"/>
          <w:shd w:val="clear" w:color="auto" w:fill="FFFFFF"/>
        </w:rPr>
        <w:t>年多的运行凉山州文联新媒体平台已成为延伸工作手臂的重要载体，为会员联络、信息发布、艺术展示、成果交流、权益保护等业务拓展提供了良好的平台，为广大会员建立起了一个温馨和谐的“网上文艺家园”。</w:t>
      </w:r>
      <w:r>
        <w:rPr>
          <w:rFonts w:hAnsi="仿宋_GB2312" w:cs="仿宋_GB2312" w:hint="eastAsia"/>
          <w:b/>
          <w:bCs/>
          <w:color w:val="000000"/>
          <w:sz w:val="32"/>
          <w:szCs w:val="32"/>
          <w:shd w:val="clear" w:color="auto" w:fill="FFFFFF"/>
        </w:rPr>
        <w:t>《凉山文学》彝汉文版办刊质量不断提升。</w:t>
      </w:r>
      <w:r>
        <w:rPr>
          <w:rFonts w:hAnsi="仿宋_GB2312" w:cs="仿宋_GB2312" w:hint="eastAsia"/>
          <w:color w:val="000000"/>
          <w:sz w:val="32"/>
          <w:szCs w:val="32"/>
          <w:shd w:val="clear" w:color="auto" w:fill="FFFFFF"/>
        </w:rPr>
        <w:t>《凉山文学》彝汉文版在发行数量和内容质量实现了新的突破。圆满完成《凉山文学》彝汉文版发行任务和出版任务，传播力影响力不断提升，向争创“四川名刊”迈出了坚实的一步。</w:t>
      </w:r>
    </w:p>
    <w:p w14:paraId="61CBB6CB" w14:textId="77777777" w:rsidR="00D01AA6" w:rsidRDefault="00000000">
      <w:pPr>
        <w:pStyle w:val="2"/>
        <w:rPr>
          <w:rStyle w:val="20"/>
        </w:rPr>
      </w:pPr>
      <w:bookmarkStart w:id="26" w:name="_Toc15396601"/>
      <w:bookmarkStart w:id="27" w:name="_Toc15377200"/>
      <w:bookmarkStart w:id="28" w:name="_Toc30757"/>
      <w:r>
        <w:rPr>
          <w:rFonts w:ascii="黑体" w:eastAsia="黑体" w:hint="eastAsia"/>
          <w:b w:val="0"/>
        </w:rPr>
        <w:t>二、</w:t>
      </w:r>
      <w:r>
        <w:rPr>
          <w:rFonts w:ascii="黑体" w:eastAsia="黑体" w:hAnsi="黑体" w:hint="eastAsia"/>
          <w:b w:val="0"/>
        </w:rPr>
        <w:t>机</w:t>
      </w:r>
      <w:r>
        <w:rPr>
          <w:rStyle w:val="20"/>
          <w:rFonts w:ascii="黑体" w:eastAsia="黑体" w:hAnsi="黑体" w:hint="eastAsia"/>
        </w:rPr>
        <w:t>构设置</w:t>
      </w:r>
      <w:bookmarkEnd w:id="26"/>
      <w:bookmarkEnd w:id="27"/>
      <w:bookmarkEnd w:id="28"/>
    </w:p>
    <w:p w14:paraId="5F306FDF" w14:textId="77777777" w:rsidR="00D01AA6" w:rsidRDefault="00000000">
      <w:pPr>
        <w:pStyle w:val="a3"/>
        <w:snapToGrid w:val="0"/>
        <w:spacing w:before="93" w:line="600" w:lineRule="exact"/>
        <w:ind w:firstLineChars="200" w:firstLine="640"/>
        <w:outlineLvl w:val="2"/>
        <w:rPr>
          <w:rFonts w:ascii="仿宋" w:eastAsia="仿宋" w:hAnsi="仿宋"/>
          <w:color w:val="000000"/>
          <w:sz w:val="32"/>
        </w:rPr>
      </w:pPr>
      <w:r>
        <w:rPr>
          <w:rFonts w:ascii="仿宋" w:eastAsia="仿宋" w:hAnsi="仿宋" w:hint="eastAsia"/>
          <w:color w:val="000000"/>
          <w:sz w:val="32"/>
        </w:rPr>
        <w:t>凉山州文联主管部门是州委宣传部，下属单位2个，其中行政单位0个，参照公务员法管理的事业单位0个，其他事业单位2个。</w:t>
      </w:r>
    </w:p>
    <w:p w14:paraId="6040ADF4" w14:textId="77777777" w:rsidR="00D01AA6" w:rsidRDefault="00000000">
      <w:pPr>
        <w:pStyle w:val="a3"/>
        <w:snapToGrid w:val="0"/>
        <w:spacing w:before="93" w:line="600" w:lineRule="exact"/>
        <w:ind w:firstLineChars="200" w:firstLine="640"/>
        <w:outlineLvl w:val="2"/>
        <w:rPr>
          <w:rFonts w:ascii="仿宋" w:eastAsia="仿宋" w:hAnsi="仿宋"/>
          <w:color w:val="000000"/>
          <w:sz w:val="32"/>
        </w:rPr>
      </w:pPr>
      <w:r>
        <w:rPr>
          <w:rFonts w:ascii="仿宋" w:eastAsia="仿宋" w:hAnsi="仿宋" w:hint="eastAsia"/>
          <w:color w:val="000000"/>
          <w:sz w:val="32"/>
        </w:rPr>
        <w:t>纳入凉山州文联2022年度单位决算编制范围的单位包</w:t>
      </w:r>
      <w:r>
        <w:rPr>
          <w:rFonts w:ascii="仿宋" w:eastAsia="仿宋" w:hAnsi="仿宋" w:hint="eastAsia"/>
          <w:color w:val="000000"/>
          <w:sz w:val="32"/>
        </w:rPr>
        <w:lastRenderedPageBreak/>
        <w:t>括：</w:t>
      </w:r>
    </w:p>
    <w:p w14:paraId="2C5E51B8" w14:textId="77777777" w:rsidR="00D01AA6" w:rsidRDefault="00000000">
      <w:pPr>
        <w:pStyle w:val="a3"/>
        <w:snapToGrid w:val="0"/>
        <w:spacing w:before="93" w:line="600" w:lineRule="exact"/>
        <w:ind w:firstLineChars="200" w:firstLine="640"/>
        <w:outlineLvl w:val="2"/>
        <w:rPr>
          <w:rFonts w:ascii="仿宋" w:eastAsia="仿宋" w:hAnsi="仿宋"/>
          <w:color w:val="000000"/>
          <w:sz w:val="32"/>
        </w:rPr>
      </w:pPr>
      <w:r>
        <w:rPr>
          <w:rFonts w:ascii="仿宋" w:eastAsia="仿宋" w:hAnsi="仿宋" w:hint="eastAsia"/>
          <w:color w:val="000000"/>
          <w:sz w:val="32"/>
        </w:rPr>
        <w:t>1、凉山文学编辑部</w:t>
      </w:r>
    </w:p>
    <w:p w14:paraId="3971BEC9" w14:textId="77777777" w:rsidR="00D01AA6" w:rsidRDefault="00000000">
      <w:pPr>
        <w:pStyle w:val="a3"/>
        <w:snapToGrid w:val="0"/>
        <w:spacing w:before="93" w:line="600" w:lineRule="exact"/>
        <w:ind w:firstLineChars="200" w:firstLine="640"/>
        <w:outlineLvl w:val="2"/>
        <w:rPr>
          <w:rFonts w:ascii="仿宋" w:eastAsia="仿宋" w:hAnsi="仿宋"/>
          <w:color w:val="000000"/>
          <w:sz w:val="32"/>
        </w:rPr>
      </w:pPr>
      <w:r>
        <w:rPr>
          <w:rFonts w:ascii="仿宋" w:eastAsia="仿宋" w:hAnsi="仿宋" w:hint="eastAsia"/>
          <w:color w:val="000000"/>
          <w:sz w:val="32"/>
        </w:rPr>
        <w:t>2、凉山彝族自治州民间文学研究会</w:t>
      </w:r>
    </w:p>
    <w:p w14:paraId="5BB0EEAC" w14:textId="77777777" w:rsidR="00D01AA6" w:rsidRDefault="00000000">
      <w:pPr>
        <w:widowControl/>
        <w:jc w:val="left"/>
        <w:rPr>
          <w:rFonts w:ascii="仿宋" w:eastAsia="仿宋" w:hAnsi="仿宋"/>
          <w:kern w:val="0"/>
          <w:sz w:val="32"/>
          <w:szCs w:val="32"/>
        </w:rPr>
      </w:pPr>
      <w:r>
        <w:rPr>
          <w:rFonts w:ascii="仿宋" w:eastAsia="仿宋" w:hAnsi="仿宋"/>
          <w:sz w:val="32"/>
          <w:szCs w:val="32"/>
        </w:rPr>
        <w:br w:type="page"/>
      </w:r>
    </w:p>
    <w:p w14:paraId="2DC12B88" w14:textId="77777777" w:rsidR="00D01AA6" w:rsidRDefault="00000000">
      <w:pPr>
        <w:pStyle w:val="1"/>
        <w:ind w:right="440"/>
        <w:jc w:val="center"/>
        <w:rPr>
          <w:rStyle w:val="10"/>
          <w:rFonts w:ascii="黑体" w:eastAsia="黑体" w:hAnsi="黑体"/>
          <w:bCs/>
        </w:rPr>
      </w:pPr>
      <w:bookmarkStart w:id="29" w:name="_Toc15377204"/>
      <w:bookmarkStart w:id="30" w:name="_Toc15396602"/>
      <w:bookmarkStart w:id="31" w:name="_Toc1750"/>
      <w:r>
        <w:rPr>
          <w:rFonts w:ascii="黑体" w:eastAsia="黑体" w:hAnsi="黑体" w:hint="eastAsia"/>
          <w:b w:val="0"/>
        </w:rPr>
        <w:t>第二部分 2021年度</w:t>
      </w:r>
      <w:r>
        <w:rPr>
          <w:rStyle w:val="10"/>
          <w:rFonts w:ascii="黑体" w:eastAsia="黑体" w:hAnsi="黑体" w:hint="eastAsia"/>
          <w:bCs/>
        </w:rPr>
        <w:t>部门决算情况说明</w:t>
      </w:r>
      <w:bookmarkEnd w:id="29"/>
      <w:bookmarkEnd w:id="30"/>
      <w:bookmarkEnd w:id="31"/>
    </w:p>
    <w:p w14:paraId="66AFBB39" w14:textId="77777777" w:rsidR="00D01AA6" w:rsidRDefault="00D01AA6"/>
    <w:p w14:paraId="7EAE6A19" w14:textId="77777777" w:rsidR="00D01AA6" w:rsidRDefault="00000000">
      <w:pPr>
        <w:pStyle w:val="11"/>
        <w:numPr>
          <w:ilvl w:val="0"/>
          <w:numId w:val="1"/>
        </w:numPr>
        <w:spacing w:line="600" w:lineRule="exact"/>
        <w:ind w:firstLineChars="0"/>
        <w:outlineLvl w:val="1"/>
        <w:rPr>
          <w:rStyle w:val="20"/>
          <w:rFonts w:ascii="黑体" w:eastAsia="黑体" w:hAnsi="黑体"/>
          <w:b w:val="0"/>
        </w:rPr>
      </w:pPr>
      <w:bookmarkStart w:id="32" w:name="_Toc15396603"/>
      <w:bookmarkStart w:id="33" w:name="_Toc15377205"/>
      <w:bookmarkStart w:id="34" w:name="_Toc9553"/>
      <w:r>
        <w:rPr>
          <w:rFonts w:ascii="黑体" w:eastAsia="黑体" w:hAnsi="黑体" w:hint="eastAsia"/>
          <w:sz w:val="32"/>
          <w:szCs w:val="32"/>
        </w:rPr>
        <w:t>收</w:t>
      </w:r>
      <w:r>
        <w:rPr>
          <w:rStyle w:val="20"/>
          <w:rFonts w:ascii="黑体" w:eastAsia="黑体" w:hAnsi="黑体" w:hint="eastAsia"/>
          <w:b w:val="0"/>
        </w:rPr>
        <w:t>入支出决算总体情况说明</w:t>
      </w:r>
      <w:bookmarkEnd w:id="32"/>
      <w:bookmarkEnd w:id="33"/>
      <w:bookmarkEnd w:id="34"/>
    </w:p>
    <w:p w14:paraId="04292C9C"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2021年度收、支总计666.76万元。与2020年相比，收、支总计各减少64.41万元，下降8.81</w:t>
      </w:r>
      <w:r>
        <w:rPr>
          <w:rFonts w:ascii="仿宋" w:eastAsia="仿宋" w:hAnsi="仿宋"/>
          <w:sz w:val="32"/>
          <w:szCs w:val="32"/>
        </w:rPr>
        <w:t>%</w:t>
      </w:r>
      <w:r>
        <w:rPr>
          <w:rFonts w:ascii="仿宋" w:eastAsia="仿宋" w:hAnsi="仿宋" w:hint="eastAsia"/>
          <w:sz w:val="32"/>
          <w:szCs w:val="32"/>
        </w:rPr>
        <w:t>。主要变动原因是项目支出减少。</w:t>
      </w:r>
    </w:p>
    <w:p w14:paraId="3AA102F6" w14:textId="45433854" w:rsidR="00D01AA6" w:rsidRDefault="002B6C56">
      <w:pPr>
        <w:pStyle w:val="a3"/>
        <w:spacing w:before="93"/>
        <w:rPr>
          <w:rFonts w:ascii="仿宋" w:eastAsia="仿宋" w:hAnsi="仿宋"/>
          <w:sz w:val="32"/>
          <w:szCs w:val="32"/>
        </w:rPr>
      </w:pPr>
      <w:r>
        <w:rPr>
          <w:noProof/>
        </w:rPr>
        <w:drawing>
          <wp:inline distT="0" distB="0" distL="0" distR="0" wp14:anchorId="11DB37D1" wp14:editId="16EE0BB1">
            <wp:extent cx="4692650" cy="2647950"/>
            <wp:effectExtent l="0" t="0" r="0" b="0"/>
            <wp:docPr id="1" name="图片框 1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92650" cy="2647950"/>
                    </a:xfrm>
                    <a:prstGeom prst="rect">
                      <a:avLst/>
                    </a:prstGeom>
                    <a:noFill/>
                    <a:ln>
                      <a:noFill/>
                    </a:ln>
                  </pic:spPr>
                </pic:pic>
              </a:graphicData>
            </a:graphic>
          </wp:inline>
        </w:drawing>
      </w:r>
    </w:p>
    <w:p w14:paraId="4DFB6A3D"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14:paraId="41277BF4" w14:textId="77777777" w:rsidR="00D01AA6" w:rsidRDefault="00D01AA6">
      <w:pPr>
        <w:spacing w:line="600" w:lineRule="exact"/>
        <w:ind w:firstLineChars="200" w:firstLine="640"/>
        <w:jc w:val="left"/>
        <w:rPr>
          <w:rFonts w:ascii="仿宋_GB2312" w:eastAsia="仿宋_GB2312"/>
          <w:sz w:val="32"/>
          <w:szCs w:val="32"/>
        </w:rPr>
      </w:pPr>
    </w:p>
    <w:p w14:paraId="22CB18A8" w14:textId="77777777" w:rsidR="00D01AA6" w:rsidRDefault="00000000">
      <w:pPr>
        <w:pStyle w:val="11"/>
        <w:numPr>
          <w:ilvl w:val="0"/>
          <w:numId w:val="1"/>
        </w:numPr>
        <w:spacing w:line="600" w:lineRule="exact"/>
        <w:ind w:firstLineChars="0"/>
        <w:outlineLvl w:val="1"/>
        <w:rPr>
          <w:rStyle w:val="20"/>
          <w:rFonts w:ascii="黑体" w:eastAsia="黑体" w:hAnsi="黑体"/>
          <w:b w:val="0"/>
        </w:rPr>
      </w:pPr>
      <w:bookmarkStart w:id="35" w:name="_Toc15377206"/>
      <w:bookmarkStart w:id="36" w:name="_Toc15396604"/>
      <w:bookmarkStart w:id="37" w:name="_Toc12774"/>
      <w:r>
        <w:rPr>
          <w:rFonts w:ascii="黑体" w:eastAsia="黑体" w:hAnsi="黑体" w:hint="eastAsia"/>
          <w:sz w:val="32"/>
          <w:szCs w:val="32"/>
        </w:rPr>
        <w:t>收</w:t>
      </w:r>
      <w:r>
        <w:rPr>
          <w:rStyle w:val="20"/>
          <w:rFonts w:ascii="黑体" w:eastAsia="黑体" w:hAnsi="黑体" w:hint="eastAsia"/>
          <w:b w:val="0"/>
        </w:rPr>
        <w:t>入决算情况说明</w:t>
      </w:r>
      <w:bookmarkEnd w:id="35"/>
      <w:bookmarkEnd w:id="36"/>
      <w:bookmarkEnd w:id="37"/>
    </w:p>
    <w:p w14:paraId="647DB6C7" w14:textId="77777777" w:rsidR="00D01AA6" w:rsidRDefault="00000000">
      <w:pPr>
        <w:spacing w:line="600" w:lineRule="exact"/>
        <w:ind w:firstLineChars="200" w:firstLine="640"/>
        <w:outlineLvl w:val="1"/>
        <w:rPr>
          <w:rFonts w:ascii="仿宋" w:eastAsia="仿宋" w:hAnsi="仿宋"/>
          <w:sz w:val="32"/>
          <w:szCs w:val="32"/>
        </w:rPr>
      </w:pPr>
      <w:bookmarkStart w:id="38" w:name="_Toc21121"/>
      <w:bookmarkStart w:id="39" w:name="_Toc15623"/>
      <w:r>
        <w:rPr>
          <w:rFonts w:ascii="仿宋" w:eastAsia="仿宋" w:hAnsi="仿宋"/>
          <w:sz w:val="32"/>
          <w:szCs w:val="32"/>
        </w:rPr>
        <w:t>20</w:t>
      </w:r>
      <w:r>
        <w:rPr>
          <w:rFonts w:ascii="仿宋" w:eastAsia="仿宋" w:hAnsi="仿宋" w:hint="eastAsia"/>
          <w:sz w:val="32"/>
          <w:szCs w:val="32"/>
        </w:rPr>
        <w:t>21年本年收入合计666.76万元，其中：一般公共预算财政拨款收入660.76万元，占99.10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w:t>
      </w:r>
      <w:r>
        <w:rPr>
          <w:rFonts w:ascii="仿宋" w:eastAsia="仿宋" w:hAnsi="仿宋" w:hint="eastAsia"/>
          <w:sz w:val="32"/>
          <w:szCs w:val="32"/>
        </w:rPr>
        <w:lastRenderedPageBreak/>
        <w:t>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；其他收入6万元，占0.9</w:t>
      </w:r>
      <w:r>
        <w:rPr>
          <w:rFonts w:ascii="仿宋" w:eastAsia="仿宋" w:hAnsi="仿宋"/>
          <w:sz w:val="32"/>
          <w:szCs w:val="32"/>
        </w:rPr>
        <w:t>%</w:t>
      </w:r>
      <w:r>
        <w:rPr>
          <w:rFonts w:ascii="仿宋" w:eastAsia="仿宋" w:hAnsi="仿宋" w:hint="eastAsia"/>
          <w:sz w:val="32"/>
          <w:szCs w:val="32"/>
        </w:rPr>
        <w:t>。</w:t>
      </w:r>
      <w:bookmarkEnd w:id="38"/>
      <w:bookmarkEnd w:id="39"/>
    </w:p>
    <w:p w14:paraId="45D9D0A7" w14:textId="72B09FC5" w:rsidR="00D01AA6" w:rsidRDefault="002B6C56">
      <w:pPr>
        <w:spacing w:line="600" w:lineRule="exact"/>
        <w:ind w:firstLineChars="200" w:firstLine="420"/>
        <w:outlineLvl w:val="1"/>
      </w:pPr>
      <w:r>
        <w:rPr>
          <w:noProof/>
        </w:rPr>
        <w:drawing>
          <wp:anchor distT="0" distB="0" distL="114300" distR="114300" simplePos="0" relativeHeight="251658240" behindDoc="0" locked="0" layoutInCell="1" allowOverlap="1" wp14:anchorId="21F91648" wp14:editId="5A2FB146">
            <wp:simplePos x="0" y="0"/>
            <wp:positionH relativeFrom="column">
              <wp:posOffset>266700</wp:posOffset>
            </wp:positionH>
            <wp:positionV relativeFrom="paragraph">
              <wp:posOffset>153670</wp:posOffset>
            </wp:positionV>
            <wp:extent cx="4657090" cy="2818765"/>
            <wp:effectExtent l="0" t="0" r="0" b="0"/>
            <wp:wrapNone/>
            <wp:docPr id="932668988" name="图片框 1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7090" cy="28187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02660C5" w14:textId="77777777" w:rsidR="00D01AA6" w:rsidRDefault="00D01AA6">
      <w:pPr>
        <w:spacing w:line="600" w:lineRule="exact"/>
        <w:ind w:firstLineChars="200" w:firstLine="420"/>
        <w:outlineLvl w:val="1"/>
      </w:pPr>
    </w:p>
    <w:p w14:paraId="6B5B580E" w14:textId="77777777" w:rsidR="00D01AA6" w:rsidRDefault="00D01AA6">
      <w:pPr>
        <w:spacing w:line="600" w:lineRule="exact"/>
        <w:ind w:firstLineChars="200" w:firstLine="420"/>
        <w:outlineLvl w:val="1"/>
      </w:pPr>
    </w:p>
    <w:p w14:paraId="2A4DFFE8" w14:textId="77777777" w:rsidR="00D01AA6" w:rsidRDefault="00D01AA6">
      <w:pPr>
        <w:spacing w:line="600" w:lineRule="exact"/>
        <w:ind w:firstLineChars="200" w:firstLine="420"/>
        <w:outlineLvl w:val="1"/>
      </w:pPr>
    </w:p>
    <w:p w14:paraId="0D5F33A3" w14:textId="77777777" w:rsidR="00D01AA6" w:rsidRDefault="00D01AA6">
      <w:pPr>
        <w:spacing w:line="600" w:lineRule="exact"/>
        <w:ind w:firstLineChars="200" w:firstLine="420"/>
        <w:outlineLvl w:val="1"/>
      </w:pPr>
    </w:p>
    <w:p w14:paraId="184CAB37" w14:textId="77777777" w:rsidR="00D01AA6" w:rsidRDefault="00D01AA6">
      <w:pPr>
        <w:spacing w:line="600" w:lineRule="exact"/>
        <w:ind w:firstLineChars="200" w:firstLine="420"/>
        <w:outlineLvl w:val="1"/>
      </w:pPr>
    </w:p>
    <w:p w14:paraId="50511CE5" w14:textId="77777777" w:rsidR="00D01AA6" w:rsidRDefault="00D01AA6">
      <w:pPr>
        <w:spacing w:line="600" w:lineRule="exact"/>
        <w:ind w:firstLineChars="200" w:firstLine="420"/>
        <w:outlineLvl w:val="1"/>
      </w:pPr>
    </w:p>
    <w:p w14:paraId="52CE54B5" w14:textId="77777777" w:rsidR="00D01AA6" w:rsidRDefault="00D01AA6">
      <w:pPr>
        <w:spacing w:line="600" w:lineRule="exact"/>
        <w:ind w:firstLineChars="200" w:firstLine="640"/>
        <w:outlineLvl w:val="1"/>
        <w:rPr>
          <w:rFonts w:ascii="仿宋" w:eastAsia="仿宋" w:hAnsi="仿宋"/>
          <w:sz w:val="32"/>
          <w:szCs w:val="32"/>
        </w:rPr>
      </w:pPr>
    </w:p>
    <w:p w14:paraId="50948396"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（图2：收入决算结构图）（饼状图）</w:t>
      </w:r>
    </w:p>
    <w:p w14:paraId="6C88F78B" w14:textId="77777777" w:rsidR="00D01AA6" w:rsidRDefault="00000000">
      <w:pPr>
        <w:pStyle w:val="11"/>
        <w:numPr>
          <w:ilvl w:val="0"/>
          <w:numId w:val="1"/>
        </w:numPr>
        <w:spacing w:line="600" w:lineRule="exact"/>
        <w:ind w:firstLineChars="0"/>
        <w:outlineLvl w:val="1"/>
        <w:rPr>
          <w:rStyle w:val="20"/>
          <w:rFonts w:ascii="黑体" w:eastAsia="黑体" w:hAnsi="黑体"/>
          <w:b w:val="0"/>
        </w:rPr>
      </w:pPr>
      <w:bookmarkStart w:id="40" w:name="_Toc15377207"/>
      <w:bookmarkStart w:id="41" w:name="_Toc15396605"/>
      <w:bookmarkStart w:id="42" w:name="_Toc29545"/>
      <w:r>
        <w:rPr>
          <w:rFonts w:ascii="黑体" w:eastAsia="黑体" w:hAnsi="黑体" w:hint="eastAsia"/>
          <w:sz w:val="32"/>
          <w:szCs w:val="32"/>
        </w:rPr>
        <w:t>支</w:t>
      </w:r>
      <w:r>
        <w:rPr>
          <w:rStyle w:val="20"/>
          <w:rFonts w:ascii="黑体" w:eastAsia="黑体" w:hAnsi="黑体" w:hint="eastAsia"/>
          <w:b w:val="0"/>
        </w:rPr>
        <w:t>出决算情况说明</w:t>
      </w:r>
      <w:bookmarkEnd w:id="40"/>
      <w:bookmarkEnd w:id="41"/>
      <w:bookmarkEnd w:id="42"/>
    </w:p>
    <w:p w14:paraId="5D8D7878" w14:textId="77777777" w:rsidR="00D01AA6" w:rsidRDefault="00000000">
      <w:pPr>
        <w:spacing w:line="600" w:lineRule="exact"/>
        <w:ind w:firstLineChars="200" w:firstLine="640"/>
        <w:outlineLvl w:val="1"/>
        <w:rPr>
          <w:rFonts w:ascii="仿宋" w:eastAsia="仿宋" w:hAnsi="仿宋"/>
          <w:sz w:val="32"/>
          <w:szCs w:val="32"/>
        </w:rPr>
      </w:pPr>
      <w:bookmarkStart w:id="43" w:name="_Toc19517"/>
      <w:bookmarkStart w:id="44" w:name="_Toc26697"/>
      <w:r>
        <w:rPr>
          <w:rFonts w:ascii="仿宋" w:eastAsia="仿宋" w:hAnsi="仿宋"/>
          <w:sz w:val="32"/>
          <w:szCs w:val="32"/>
        </w:rPr>
        <w:t>20</w:t>
      </w:r>
      <w:r>
        <w:rPr>
          <w:rFonts w:ascii="仿宋" w:eastAsia="仿宋" w:hAnsi="仿宋" w:hint="eastAsia"/>
          <w:sz w:val="32"/>
          <w:szCs w:val="32"/>
        </w:rPr>
        <w:t>21年本年支出合计666.76万元，其中：基本支出477.88万元，占71.67</w:t>
      </w:r>
      <w:r>
        <w:rPr>
          <w:rFonts w:ascii="仿宋" w:eastAsia="仿宋" w:hAnsi="仿宋"/>
          <w:sz w:val="32"/>
          <w:szCs w:val="32"/>
        </w:rPr>
        <w:t>%</w:t>
      </w:r>
      <w:r>
        <w:rPr>
          <w:rFonts w:ascii="仿宋" w:eastAsia="仿宋" w:hAnsi="仿宋" w:hint="eastAsia"/>
          <w:sz w:val="32"/>
          <w:szCs w:val="32"/>
        </w:rPr>
        <w:t>；项目支出188.88万元，占28.33</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bookmarkEnd w:id="43"/>
      <w:bookmarkEnd w:id="44"/>
    </w:p>
    <w:p w14:paraId="17537FDE" w14:textId="46262ECD" w:rsidR="00D01AA6" w:rsidRDefault="002B6C56">
      <w:pPr>
        <w:spacing w:line="600" w:lineRule="exact"/>
        <w:ind w:firstLine="640"/>
        <w:rPr>
          <w:rFonts w:ascii="仿宋" w:eastAsia="仿宋" w:hAnsi="仿宋"/>
          <w:sz w:val="32"/>
          <w:szCs w:val="32"/>
          <w:shd w:val="pct10" w:color="auto" w:fill="FFFFFF"/>
        </w:rPr>
      </w:pPr>
      <w:r>
        <w:rPr>
          <w:noProof/>
        </w:rPr>
        <w:drawing>
          <wp:anchor distT="0" distB="0" distL="114300" distR="114300" simplePos="0" relativeHeight="251659264" behindDoc="0" locked="0" layoutInCell="1" allowOverlap="1" wp14:anchorId="6BD89B53" wp14:editId="34A8ADF4">
            <wp:simplePos x="0" y="0"/>
            <wp:positionH relativeFrom="column">
              <wp:posOffset>725805</wp:posOffset>
            </wp:positionH>
            <wp:positionV relativeFrom="paragraph">
              <wp:posOffset>128270</wp:posOffset>
            </wp:positionV>
            <wp:extent cx="3516630" cy="2237740"/>
            <wp:effectExtent l="0" t="0" r="0" b="0"/>
            <wp:wrapNone/>
            <wp:docPr id="1715548995"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16630" cy="22377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95D2D2E" w14:textId="77777777" w:rsidR="00D01AA6" w:rsidRDefault="00D01AA6">
      <w:pPr>
        <w:spacing w:line="600" w:lineRule="exact"/>
        <w:ind w:firstLineChars="200" w:firstLine="640"/>
        <w:rPr>
          <w:rFonts w:ascii="仿宋" w:eastAsia="仿宋" w:hAnsi="仿宋"/>
          <w:sz w:val="32"/>
          <w:szCs w:val="32"/>
        </w:rPr>
      </w:pPr>
    </w:p>
    <w:p w14:paraId="069B2D22" w14:textId="77777777" w:rsidR="00D01AA6" w:rsidRDefault="00D01AA6">
      <w:pPr>
        <w:spacing w:line="600" w:lineRule="exact"/>
        <w:ind w:firstLineChars="200" w:firstLine="640"/>
        <w:rPr>
          <w:rFonts w:ascii="仿宋" w:eastAsia="仿宋" w:hAnsi="仿宋"/>
          <w:sz w:val="32"/>
          <w:szCs w:val="32"/>
        </w:rPr>
      </w:pPr>
    </w:p>
    <w:p w14:paraId="0A1F28BA" w14:textId="77777777" w:rsidR="00D01AA6" w:rsidRDefault="00D01AA6">
      <w:pPr>
        <w:pStyle w:val="a3"/>
        <w:spacing w:before="93"/>
      </w:pPr>
    </w:p>
    <w:p w14:paraId="686A23F6" w14:textId="77777777" w:rsidR="00D01AA6" w:rsidRDefault="00D01AA6">
      <w:pPr>
        <w:spacing w:line="600" w:lineRule="exact"/>
        <w:ind w:firstLineChars="200" w:firstLine="640"/>
        <w:rPr>
          <w:rFonts w:ascii="仿宋" w:eastAsia="仿宋" w:hAnsi="仿宋"/>
          <w:sz w:val="32"/>
          <w:szCs w:val="32"/>
        </w:rPr>
      </w:pPr>
    </w:p>
    <w:p w14:paraId="4AF27DA4" w14:textId="77777777" w:rsidR="00D01AA6" w:rsidRDefault="00D01AA6">
      <w:pPr>
        <w:spacing w:line="600" w:lineRule="exact"/>
        <w:ind w:firstLineChars="200" w:firstLine="640"/>
        <w:rPr>
          <w:rFonts w:ascii="仿宋" w:eastAsia="仿宋" w:hAnsi="仿宋"/>
          <w:sz w:val="32"/>
          <w:szCs w:val="32"/>
        </w:rPr>
      </w:pPr>
    </w:p>
    <w:p w14:paraId="53CADE49"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（图3：支出决算结构图）（饼状图）</w:t>
      </w:r>
    </w:p>
    <w:p w14:paraId="28BE6AF7" w14:textId="77777777" w:rsidR="00D01AA6" w:rsidRDefault="00000000">
      <w:pPr>
        <w:spacing w:line="600" w:lineRule="exact"/>
        <w:ind w:firstLineChars="200" w:firstLine="640"/>
        <w:outlineLvl w:val="1"/>
        <w:rPr>
          <w:rStyle w:val="20"/>
          <w:rFonts w:ascii="黑体" w:eastAsia="黑体" w:hAnsi="黑体"/>
          <w:b w:val="0"/>
        </w:rPr>
      </w:pPr>
      <w:bookmarkStart w:id="45" w:name="_Toc15396606"/>
      <w:bookmarkStart w:id="46" w:name="_Toc15377208"/>
      <w:bookmarkStart w:id="47" w:name="_Toc20516"/>
      <w:r>
        <w:rPr>
          <w:rFonts w:ascii="黑体" w:eastAsia="黑体" w:hAnsi="黑体" w:hint="eastAsia"/>
          <w:sz w:val="32"/>
          <w:szCs w:val="32"/>
        </w:rPr>
        <w:lastRenderedPageBreak/>
        <w:t>四、财</w:t>
      </w:r>
      <w:r>
        <w:rPr>
          <w:rStyle w:val="20"/>
          <w:rFonts w:ascii="黑体" w:eastAsia="黑体" w:hAnsi="黑体" w:hint="eastAsia"/>
          <w:b w:val="0"/>
        </w:rPr>
        <w:t>政拨款收入支出决算总体情况说明</w:t>
      </w:r>
      <w:bookmarkEnd w:id="45"/>
      <w:bookmarkEnd w:id="46"/>
      <w:bookmarkEnd w:id="47"/>
    </w:p>
    <w:p w14:paraId="2C1A5468" w14:textId="77777777" w:rsidR="00D01AA6"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21年财政拨款收、支总计660.76万元。与</w:t>
      </w:r>
      <w:r>
        <w:rPr>
          <w:rFonts w:ascii="仿宋" w:eastAsia="仿宋" w:hAnsi="仿宋"/>
          <w:sz w:val="32"/>
          <w:szCs w:val="32"/>
        </w:rPr>
        <w:t>20</w:t>
      </w:r>
      <w:r>
        <w:rPr>
          <w:rFonts w:ascii="仿宋" w:eastAsia="仿宋" w:hAnsi="仿宋" w:hint="eastAsia"/>
          <w:sz w:val="32"/>
          <w:szCs w:val="32"/>
        </w:rPr>
        <w:t>20年相比，财政拨款收、支总计各减少70.41万元，下降9.63</w:t>
      </w:r>
      <w:r>
        <w:rPr>
          <w:rFonts w:ascii="仿宋" w:eastAsia="仿宋" w:hAnsi="仿宋"/>
          <w:sz w:val="32"/>
          <w:szCs w:val="32"/>
        </w:rPr>
        <w:t>%</w:t>
      </w:r>
      <w:r>
        <w:rPr>
          <w:rFonts w:ascii="仿宋" w:eastAsia="仿宋" w:hAnsi="仿宋" w:hint="eastAsia"/>
          <w:sz w:val="32"/>
          <w:szCs w:val="32"/>
        </w:rPr>
        <w:t>。主要变动原因是2021年项目减少，人员经费调整，其他的基本支出都完全控制在预算总额以内。</w:t>
      </w:r>
    </w:p>
    <w:p w14:paraId="0924E8FC" w14:textId="6A0AE24F" w:rsidR="00D01AA6" w:rsidRDefault="00000000">
      <w:pPr>
        <w:pStyle w:val="a3"/>
        <w:spacing w:before="93"/>
        <w:rPr>
          <w:rFonts w:ascii="仿宋" w:eastAsia="仿宋" w:hAnsi="仿宋"/>
          <w:sz w:val="32"/>
          <w:szCs w:val="32"/>
        </w:rPr>
      </w:pPr>
      <w:r>
        <w:rPr>
          <w:rFonts w:hint="eastAsia"/>
        </w:rPr>
        <w:t xml:space="preserve">  </w:t>
      </w:r>
      <w:r w:rsidR="002B6C56">
        <w:rPr>
          <w:noProof/>
        </w:rPr>
        <w:drawing>
          <wp:inline distT="0" distB="0" distL="0" distR="0" wp14:anchorId="6FCBB0D1" wp14:editId="1DD0B05F">
            <wp:extent cx="4870450" cy="3168650"/>
            <wp:effectExtent l="0" t="0" r="0" b="0"/>
            <wp:docPr id="2" name="图片框 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70450" cy="3168650"/>
                    </a:xfrm>
                    <a:prstGeom prst="rect">
                      <a:avLst/>
                    </a:prstGeom>
                    <a:noFill/>
                    <a:ln>
                      <a:noFill/>
                    </a:ln>
                  </pic:spPr>
                </pic:pic>
              </a:graphicData>
            </a:graphic>
          </wp:inline>
        </w:drawing>
      </w:r>
    </w:p>
    <w:p w14:paraId="680ABECC" w14:textId="77777777" w:rsidR="00D01AA6" w:rsidRDefault="00D01AA6">
      <w:pPr>
        <w:pStyle w:val="a3"/>
        <w:spacing w:before="93"/>
        <w:rPr>
          <w:rFonts w:ascii="仿宋" w:eastAsia="仿宋" w:hAnsi="仿宋"/>
          <w:sz w:val="32"/>
          <w:szCs w:val="32"/>
        </w:rPr>
      </w:pPr>
    </w:p>
    <w:p w14:paraId="7F467B3C"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（图4：财政拨款收、支决算总计变动情况）（柱状图）</w:t>
      </w:r>
    </w:p>
    <w:p w14:paraId="4DF2B8EA" w14:textId="77777777" w:rsidR="00D01AA6" w:rsidRDefault="00D01AA6">
      <w:pPr>
        <w:spacing w:line="600" w:lineRule="exact"/>
        <w:ind w:firstLine="640"/>
        <w:rPr>
          <w:rFonts w:ascii="仿宋" w:eastAsia="仿宋" w:hAnsi="仿宋"/>
          <w:b/>
          <w:sz w:val="32"/>
          <w:szCs w:val="32"/>
        </w:rPr>
      </w:pPr>
    </w:p>
    <w:p w14:paraId="73ACB642" w14:textId="77777777" w:rsidR="00D01AA6" w:rsidRDefault="00000000">
      <w:pPr>
        <w:spacing w:line="600" w:lineRule="exact"/>
        <w:ind w:firstLineChars="200" w:firstLine="640"/>
        <w:outlineLvl w:val="1"/>
        <w:rPr>
          <w:rStyle w:val="20"/>
          <w:rFonts w:ascii="黑体" w:eastAsia="黑体" w:hAnsi="黑体"/>
          <w:b w:val="0"/>
        </w:rPr>
      </w:pPr>
      <w:bookmarkStart w:id="48" w:name="_Toc15377209"/>
      <w:bookmarkStart w:id="49" w:name="_Toc15396607"/>
      <w:bookmarkStart w:id="50" w:name="_Toc26960"/>
      <w:r>
        <w:rPr>
          <w:rFonts w:ascii="黑体" w:eastAsia="黑体" w:hAnsi="黑体" w:hint="eastAsia"/>
          <w:sz w:val="32"/>
          <w:szCs w:val="32"/>
        </w:rPr>
        <w:t>五、</w:t>
      </w:r>
      <w:r>
        <w:rPr>
          <w:rFonts w:ascii="黑体" w:eastAsia="黑体" w:hAnsi="黑体" w:hint="eastAsia"/>
          <w:b/>
          <w:sz w:val="32"/>
          <w:szCs w:val="32"/>
        </w:rPr>
        <w:t>一</w:t>
      </w:r>
      <w:r>
        <w:rPr>
          <w:rStyle w:val="20"/>
          <w:rFonts w:ascii="黑体" w:eastAsia="黑体" w:hAnsi="黑体" w:hint="eastAsia"/>
          <w:b w:val="0"/>
        </w:rPr>
        <w:t>般公共预算财政拨款支出决算情况说明</w:t>
      </w:r>
      <w:bookmarkEnd w:id="48"/>
      <w:bookmarkEnd w:id="49"/>
      <w:bookmarkEnd w:id="50"/>
    </w:p>
    <w:p w14:paraId="43D8E63B" w14:textId="77777777" w:rsidR="00D01AA6" w:rsidRDefault="00000000">
      <w:pPr>
        <w:spacing w:line="600" w:lineRule="exact"/>
        <w:ind w:firstLineChars="200" w:firstLine="643"/>
        <w:outlineLvl w:val="2"/>
        <w:rPr>
          <w:rFonts w:ascii="仿宋" w:eastAsia="仿宋" w:hAnsi="仿宋"/>
          <w:b/>
          <w:sz w:val="32"/>
          <w:szCs w:val="32"/>
        </w:rPr>
      </w:pPr>
      <w:bookmarkStart w:id="51" w:name="_Toc15377210"/>
      <w:r>
        <w:rPr>
          <w:rFonts w:ascii="仿宋" w:eastAsia="仿宋" w:hAnsi="仿宋" w:hint="eastAsia"/>
          <w:b/>
          <w:sz w:val="32"/>
          <w:szCs w:val="32"/>
        </w:rPr>
        <w:t>（一）一般公共预算财政拨款支出决算总体情况</w:t>
      </w:r>
      <w:bookmarkEnd w:id="51"/>
    </w:p>
    <w:p w14:paraId="730540C5"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21年一般公共预算财政拨款支出660.76万元，占本年支出合计的99.1</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20年相比，一般公共预算财政拨款支出减少43.11万元，下降6.12</w:t>
      </w:r>
      <w:r>
        <w:rPr>
          <w:rFonts w:ascii="仿宋" w:eastAsia="仿宋" w:hAnsi="仿宋"/>
          <w:sz w:val="32"/>
          <w:szCs w:val="32"/>
        </w:rPr>
        <w:t>%</w:t>
      </w:r>
      <w:r>
        <w:rPr>
          <w:rFonts w:ascii="仿宋" w:eastAsia="仿宋" w:hAnsi="仿宋" w:hint="eastAsia"/>
          <w:sz w:val="32"/>
          <w:szCs w:val="32"/>
        </w:rPr>
        <w:t>。主要变动原因是2021年项目减少。</w:t>
      </w:r>
    </w:p>
    <w:p w14:paraId="2B92AF84" w14:textId="79F40F58" w:rsidR="00D01AA6" w:rsidRDefault="002B6C56">
      <w:pPr>
        <w:pStyle w:val="a3"/>
        <w:spacing w:before="93"/>
        <w:rPr>
          <w:rFonts w:ascii="仿宋" w:eastAsia="仿宋" w:hAnsi="仿宋"/>
          <w:sz w:val="32"/>
          <w:szCs w:val="32"/>
        </w:rPr>
      </w:pPr>
      <w:r>
        <w:rPr>
          <w:noProof/>
        </w:rPr>
        <w:lastRenderedPageBreak/>
        <w:drawing>
          <wp:inline distT="0" distB="0" distL="0" distR="0" wp14:anchorId="744B30E4" wp14:editId="0E840658">
            <wp:extent cx="5270500" cy="3073400"/>
            <wp:effectExtent l="0" t="0" r="0" b="0"/>
            <wp:docPr id="3" name="图片框 1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2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0500" cy="3073400"/>
                    </a:xfrm>
                    <a:prstGeom prst="rect">
                      <a:avLst/>
                    </a:prstGeom>
                    <a:noFill/>
                    <a:ln>
                      <a:noFill/>
                    </a:ln>
                  </pic:spPr>
                </pic:pic>
              </a:graphicData>
            </a:graphic>
          </wp:inline>
        </w:drawing>
      </w:r>
    </w:p>
    <w:p w14:paraId="35642ECD"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（图5：一般公共预算财政拨款支出决算变动情况）（柱状图）</w:t>
      </w:r>
    </w:p>
    <w:p w14:paraId="5F642BC3" w14:textId="77777777" w:rsidR="00D01AA6" w:rsidRDefault="00D01AA6">
      <w:pPr>
        <w:spacing w:line="600" w:lineRule="exact"/>
        <w:ind w:firstLineChars="200" w:firstLine="640"/>
        <w:rPr>
          <w:rFonts w:ascii="仿宋" w:eastAsia="仿宋" w:hAnsi="仿宋"/>
          <w:sz w:val="32"/>
          <w:szCs w:val="32"/>
        </w:rPr>
      </w:pPr>
    </w:p>
    <w:p w14:paraId="20EFC802" w14:textId="77777777" w:rsidR="00D01AA6" w:rsidRDefault="00000000">
      <w:pPr>
        <w:spacing w:line="600" w:lineRule="exact"/>
        <w:ind w:firstLineChars="200" w:firstLine="643"/>
        <w:outlineLvl w:val="2"/>
        <w:rPr>
          <w:rFonts w:ascii="仿宋" w:eastAsia="仿宋" w:hAnsi="仿宋"/>
          <w:b/>
          <w:sz w:val="32"/>
          <w:szCs w:val="32"/>
        </w:rPr>
      </w:pPr>
      <w:bookmarkStart w:id="52" w:name="_Toc15377211"/>
      <w:r>
        <w:rPr>
          <w:rFonts w:ascii="仿宋" w:eastAsia="仿宋" w:hAnsi="仿宋" w:hint="eastAsia"/>
          <w:b/>
          <w:sz w:val="32"/>
          <w:szCs w:val="32"/>
        </w:rPr>
        <w:t>（二）一般公共预算财政拨款支出决算结构情况</w:t>
      </w:r>
      <w:bookmarkEnd w:id="52"/>
    </w:p>
    <w:p w14:paraId="29D8CB58" w14:textId="77777777" w:rsidR="00D01AA6" w:rsidRDefault="00000000">
      <w:pPr>
        <w:spacing w:line="600" w:lineRule="exact"/>
        <w:ind w:firstLine="640"/>
        <w:rPr>
          <w:rFonts w:ascii="仿宋" w:eastAsia="仿宋" w:hAnsi="仿宋"/>
          <w:color w:val="000000"/>
          <w:sz w:val="32"/>
          <w:szCs w:val="32"/>
        </w:rPr>
      </w:pPr>
      <w:r>
        <w:rPr>
          <w:rFonts w:ascii="仿宋" w:eastAsia="仿宋" w:hAnsi="仿宋"/>
          <w:sz w:val="32"/>
          <w:szCs w:val="32"/>
        </w:rPr>
        <w:t>20</w:t>
      </w:r>
      <w:r>
        <w:rPr>
          <w:rFonts w:ascii="仿宋" w:eastAsia="仿宋" w:hAnsi="仿宋" w:hint="eastAsia"/>
          <w:sz w:val="32"/>
          <w:szCs w:val="32"/>
        </w:rPr>
        <w:t>21年一般公共预算财政拨款支出660.76万元，主要用于以下方面</w:t>
      </w:r>
      <w:r>
        <w:rPr>
          <w:rFonts w:ascii="仿宋" w:eastAsia="仿宋" w:hAnsi="仿宋"/>
          <w:sz w:val="32"/>
          <w:szCs w:val="32"/>
        </w:rPr>
        <w:t>:</w:t>
      </w:r>
      <w:r>
        <w:rPr>
          <w:rFonts w:ascii="仿宋" w:eastAsia="仿宋" w:hAnsi="仿宋" w:hint="eastAsia"/>
          <w:b/>
          <w:sz w:val="32"/>
          <w:szCs w:val="32"/>
        </w:rPr>
        <w:t>一般公共服务（类）</w:t>
      </w:r>
      <w:r>
        <w:rPr>
          <w:rFonts w:ascii="仿宋" w:eastAsia="仿宋" w:hAnsi="仿宋" w:hint="eastAsia"/>
          <w:sz w:val="32"/>
          <w:szCs w:val="32"/>
        </w:rPr>
        <w:t>支出70.82万元，占10.72</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color w:val="000000"/>
          <w:sz w:val="32"/>
          <w:szCs w:val="32"/>
        </w:rPr>
        <w:t>文化旅游体育与传媒支出（类）</w:t>
      </w:r>
      <w:r>
        <w:rPr>
          <w:rFonts w:ascii="仿宋" w:eastAsia="仿宋" w:hAnsi="仿宋" w:hint="eastAsia"/>
          <w:color w:val="000000"/>
          <w:sz w:val="32"/>
          <w:szCs w:val="32"/>
        </w:rPr>
        <w:t>支出419.89万元，占63.55</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社会保障和就业（类）</w:t>
      </w:r>
      <w:r>
        <w:rPr>
          <w:rFonts w:ascii="仿宋" w:eastAsia="仿宋" w:hAnsi="仿宋" w:hint="eastAsia"/>
          <w:color w:val="000000"/>
          <w:sz w:val="32"/>
          <w:szCs w:val="32"/>
        </w:rPr>
        <w:t>支出117.96万元，占17.85</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卫生健康支出（类）</w:t>
      </w:r>
      <w:r>
        <w:rPr>
          <w:rFonts w:ascii="仿宋" w:eastAsia="仿宋" w:hAnsi="仿宋" w:hint="eastAsia"/>
          <w:color w:val="000000"/>
          <w:sz w:val="32"/>
          <w:szCs w:val="32"/>
        </w:rPr>
        <w:t>27.02万元，占4.09</w:t>
      </w:r>
      <w:r>
        <w:rPr>
          <w:rFonts w:ascii="仿宋" w:eastAsia="仿宋" w:hAnsi="仿宋"/>
          <w:color w:val="000000"/>
          <w:sz w:val="32"/>
          <w:szCs w:val="32"/>
        </w:rPr>
        <w:t>%</w:t>
      </w:r>
      <w:r>
        <w:rPr>
          <w:rFonts w:ascii="仿宋" w:eastAsia="仿宋" w:hAnsi="仿宋" w:hint="eastAsia"/>
          <w:color w:val="000000"/>
          <w:sz w:val="32"/>
          <w:szCs w:val="32"/>
        </w:rPr>
        <w:t>；</w:t>
      </w:r>
      <w:r>
        <w:rPr>
          <w:rFonts w:ascii="仿宋" w:eastAsia="仿宋" w:hAnsi="仿宋" w:hint="eastAsia"/>
          <w:b/>
          <w:color w:val="000000"/>
          <w:sz w:val="32"/>
          <w:szCs w:val="32"/>
        </w:rPr>
        <w:t>住房保障支出（类）</w:t>
      </w:r>
      <w:r>
        <w:rPr>
          <w:rFonts w:ascii="仿宋" w:eastAsia="仿宋" w:hAnsi="仿宋" w:hint="eastAsia"/>
          <w:color w:val="000000"/>
          <w:sz w:val="32"/>
          <w:szCs w:val="32"/>
        </w:rPr>
        <w:t>25.07万元，占3.79</w:t>
      </w:r>
      <w:r>
        <w:rPr>
          <w:rFonts w:ascii="仿宋" w:eastAsia="仿宋" w:hAnsi="仿宋"/>
          <w:color w:val="000000"/>
          <w:sz w:val="32"/>
          <w:szCs w:val="32"/>
        </w:rPr>
        <w:t>%</w:t>
      </w:r>
      <w:r>
        <w:rPr>
          <w:rFonts w:ascii="仿宋" w:eastAsia="仿宋" w:hAnsi="仿宋" w:hint="eastAsia"/>
          <w:color w:val="000000"/>
          <w:sz w:val="32"/>
          <w:szCs w:val="32"/>
        </w:rPr>
        <w:t>。</w:t>
      </w:r>
    </w:p>
    <w:p w14:paraId="7CFDC7E8" w14:textId="19780D21" w:rsidR="00D01AA6" w:rsidRDefault="002B6C56">
      <w:pPr>
        <w:pStyle w:val="a3"/>
        <w:spacing w:before="93"/>
      </w:pPr>
      <w:r>
        <w:rPr>
          <w:noProof/>
        </w:rPr>
        <w:lastRenderedPageBreak/>
        <w:drawing>
          <wp:inline distT="0" distB="0" distL="0" distR="0" wp14:anchorId="039F9B7C" wp14:editId="28031637">
            <wp:extent cx="5232400" cy="3181350"/>
            <wp:effectExtent l="0" t="0" r="0" b="0"/>
            <wp:docPr id="4" name="图片框 1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232400" cy="3181350"/>
                    </a:xfrm>
                    <a:prstGeom prst="rect">
                      <a:avLst/>
                    </a:prstGeom>
                    <a:noFill/>
                    <a:ln>
                      <a:noFill/>
                    </a:ln>
                  </pic:spPr>
                </pic:pic>
              </a:graphicData>
            </a:graphic>
          </wp:inline>
        </w:drawing>
      </w:r>
    </w:p>
    <w:p w14:paraId="2EEB006D" w14:textId="77777777" w:rsidR="00D01AA6" w:rsidRDefault="00000000">
      <w:pPr>
        <w:spacing w:line="600" w:lineRule="exact"/>
        <w:ind w:firstLineChars="200" w:firstLine="640"/>
        <w:rPr>
          <w:rFonts w:ascii="仿宋" w:eastAsia="仿宋" w:hAnsi="仿宋"/>
          <w:sz w:val="32"/>
          <w:szCs w:val="32"/>
        </w:rPr>
      </w:pPr>
      <w:r>
        <w:rPr>
          <w:rFonts w:ascii="仿宋" w:eastAsia="仿宋" w:hAnsi="仿宋" w:hint="eastAsia"/>
          <w:sz w:val="32"/>
          <w:szCs w:val="32"/>
        </w:rPr>
        <w:t>（图6：一般公共预算财政拨款支出决算结构）（饼状图）</w:t>
      </w:r>
    </w:p>
    <w:p w14:paraId="087C13DE" w14:textId="77777777" w:rsidR="00D01AA6" w:rsidRDefault="00D01AA6">
      <w:pPr>
        <w:spacing w:line="600" w:lineRule="exact"/>
        <w:ind w:firstLineChars="200" w:firstLine="640"/>
        <w:rPr>
          <w:rFonts w:ascii="仿宋" w:eastAsia="仿宋" w:hAnsi="仿宋"/>
          <w:sz w:val="32"/>
          <w:szCs w:val="32"/>
        </w:rPr>
      </w:pPr>
    </w:p>
    <w:p w14:paraId="1B12DCF4" w14:textId="77777777" w:rsidR="00D01AA6" w:rsidRDefault="00000000">
      <w:pPr>
        <w:spacing w:line="600" w:lineRule="exact"/>
        <w:ind w:firstLineChars="200" w:firstLine="643"/>
        <w:outlineLvl w:val="2"/>
        <w:rPr>
          <w:rFonts w:ascii="仿宋" w:eastAsia="仿宋" w:hAnsi="仿宋"/>
          <w:b/>
          <w:sz w:val="32"/>
          <w:szCs w:val="32"/>
        </w:rPr>
      </w:pPr>
      <w:bookmarkStart w:id="53" w:name="_Toc15377212"/>
      <w:r>
        <w:rPr>
          <w:rFonts w:ascii="仿宋" w:eastAsia="仿宋" w:hAnsi="仿宋" w:hint="eastAsia"/>
          <w:b/>
          <w:sz w:val="32"/>
          <w:szCs w:val="32"/>
        </w:rPr>
        <w:t>（三）一般公共预算财政拨款支出决算具体情况</w:t>
      </w:r>
      <w:bookmarkEnd w:id="53"/>
    </w:p>
    <w:p w14:paraId="3DB3440C" w14:textId="77777777" w:rsidR="00D01AA6" w:rsidRDefault="00000000">
      <w:pPr>
        <w:spacing w:line="600" w:lineRule="exact"/>
        <w:ind w:firstLineChars="200" w:firstLine="643"/>
        <w:outlineLvl w:val="2"/>
        <w:rPr>
          <w:rFonts w:ascii="仿宋" w:eastAsia="仿宋" w:hAnsi="仿宋"/>
          <w:sz w:val="32"/>
          <w:szCs w:val="32"/>
        </w:rPr>
      </w:pPr>
      <w:bookmarkStart w:id="54" w:name="_Toc15377444"/>
      <w:bookmarkStart w:id="55" w:name="_Toc15378460"/>
      <w:bookmarkStart w:id="56" w:name="_Toc15377213"/>
      <w:r>
        <w:rPr>
          <w:rFonts w:ascii="仿宋" w:eastAsia="仿宋" w:hAnsi="仿宋" w:hint="eastAsia"/>
          <w:b/>
          <w:sz w:val="32"/>
          <w:szCs w:val="32"/>
        </w:rPr>
        <w:t>2021年一般公共预算支出决算数为</w:t>
      </w:r>
      <w:r>
        <w:rPr>
          <w:rFonts w:ascii="仿宋" w:eastAsia="仿宋" w:hAnsi="仿宋"/>
          <w:b/>
          <w:sz w:val="32"/>
          <w:szCs w:val="32"/>
        </w:rPr>
        <w:t>660.76</w:t>
      </w:r>
      <w:r>
        <w:rPr>
          <w:rFonts w:ascii="仿宋" w:eastAsia="仿宋" w:hAnsi="仿宋" w:hint="eastAsia"/>
          <w:sz w:val="32"/>
          <w:szCs w:val="32"/>
        </w:rPr>
        <w:t>，</w:t>
      </w:r>
      <w:r>
        <w:rPr>
          <w:rStyle w:val="ab"/>
          <w:rFonts w:ascii="仿宋" w:eastAsia="仿宋" w:hAnsi="仿宋" w:hint="eastAsia"/>
          <w:bCs/>
          <w:sz w:val="32"/>
          <w:szCs w:val="32"/>
        </w:rPr>
        <w:t>完成预算100</w:t>
      </w:r>
      <w:r>
        <w:rPr>
          <w:rStyle w:val="ab"/>
          <w:rFonts w:ascii="仿宋" w:eastAsia="仿宋" w:hAnsi="仿宋"/>
          <w:bCs/>
          <w:sz w:val="32"/>
          <w:szCs w:val="32"/>
        </w:rPr>
        <w:t>%</w:t>
      </w:r>
      <w:r>
        <w:rPr>
          <w:rStyle w:val="ab"/>
          <w:rFonts w:ascii="仿宋" w:eastAsia="仿宋" w:hAnsi="仿宋" w:hint="eastAsia"/>
          <w:bCs/>
          <w:sz w:val="32"/>
          <w:szCs w:val="32"/>
        </w:rPr>
        <w:t>。其中：</w:t>
      </w:r>
      <w:bookmarkEnd w:id="54"/>
      <w:bookmarkEnd w:id="55"/>
      <w:bookmarkEnd w:id="56"/>
    </w:p>
    <w:p w14:paraId="21465E2C"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1、一般公共服务支出：</w:t>
      </w:r>
    </w:p>
    <w:p w14:paraId="23978159"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 其他宣传事务支出（2013399）: 支出决算为70.82万元，完成预算100%。</w:t>
      </w:r>
    </w:p>
    <w:p w14:paraId="0649F220"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2、文化旅游体育与传媒支出：</w:t>
      </w:r>
    </w:p>
    <w:p w14:paraId="5DDA7157"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（1）其他文化和旅游支出（2070199）: 支出决算为10万元，完成预算100%。</w:t>
      </w:r>
    </w:p>
    <w:p w14:paraId="203B0DE5"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（2）出版发行（2070605）: 支出决算为7.1万元，完成预算100%。</w:t>
      </w:r>
    </w:p>
    <w:p w14:paraId="1490C444"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（3）其他文化旅游体育与传媒支出（2079999）: 支出</w:t>
      </w:r>
      <w:r>
        <w:rPr>
          <w:rStyle w:val="ab"/>
          <w:rFonts w:ascii="仿宋" w:eastAsia="仿宋" w:hAnsi="仿宋" w:hint="eastAsia"/>
          <w:b w:val="0"/>
          <w:bCs/>
          <w:color w:val="000000"/>
          <w:sz w:val="32"/>
          <w:szCs w:val="32"/>
        </w:rPr>
        <w:lastRenderedPageBreak/>
        <w:t>决算为402.79万元，完成预算100%。</w:t>
      </w:r>
    </w:p>
    <w:p w14:paraId="10C60F6A"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 xml:space="preserve">3.社会保障和就业支出: </w:t>
      </w:r>
    </w:p>
    <w:p w14:paraId="194A1D84"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（1）行政单位离退休（2080501）：支出决算为57.32万元，完成预算100%；</w:t>
      </w:r>
    </w:p>
    <w:p w14:paraId="4B5B19C8"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 xml:space="preserve">（2）事业单位离退休(2080502): 支出决算为25.92万元，完成预算100%； </w:t>
      </w:r>
    </w:p>
    <w:p w14:paraId="00F8FCC7"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 xml:space="preserve">（3）机关事业单位基本养老保险缴费（2080505）：支出决算为22.77万元，完成预算100%； </w:t>
      </w:r>
    </w:p>
    <w:p w14:paraId="6B062014"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（4）机关事业单位职业年金缴费（2080506）：支出决算为11.95万元，完成预算100%；</w:t>
      </w:r>
    </w:p>
    <w:p w14:paraId="65098B89"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 xml:space="preserve">4.卫生健康支出：   </w:t>
      </w:r>
    </w:p>
    <w:p w14:paraId="3A3AFE48"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（1）行政单位医疗（2101101）支出决算为5.92万元，完成预算100%；</w:t>
      </w:r>
      <w:r>
        <w:rPr>
          <w:rStyle w:val="ab"/>
          <w:rFonts w:ascii="仿宋" w:eastAsia="仿宋" w:hAnsi="仿宋" w:hint="eastAsia"/>
          <w:b w:val="0"/>
          <w:bCs/>
          <w:color w:val="000000"/>
          <w:sz w:val="32"/>
          <w:szCs w:val="32"/>
        </w:rPr>
        <w:tab/>
      </w:r>
    </w:p>
    <w:p w14:paraId="0439DF22"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 xml:space="preserve"> （2）事业单位医疗（2101102）支出决算为10.51万元，完成预算100%；</w:t>
      </w:r>
      <w:r>
        <w:rPr>
          <w:rStyle w:val="ab"/>
          <w:rFonts w:ascii="仿宋" w:eastAsia="仿宋" w:hAnsi="仿宋" w:hint="eastAsia"/>
          <w:b w:val="0"/>
          <w:bCs/>
          <w:color w:val="000000"/>
          <w:sz w:val="32"/>
          <w:szCs w:val="32"/>
        </w:rPr>
        <w:tab/>
      </w:r>
    </w:p>
    <w:p w14:paraId="3B31E010"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（3）公务员医疗补助（2101103）支出决算为4.24万元，完成预算100%；</w:t>
      </w:r>
    </w:p>
    <w:p w14:paraId="036D8EF2"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（4）其他行政事业单位医疗支出（2101199）支出决算为6.35万元，完成预算100%；</w:t>
      </w:r>
    </w:p>
    <w:p w14:paraId="1D11982F"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5.住房保障支出：</w:t>
      </w:r>
    </w:p>
    <w:p w14:paraId="4707F460" w14:textId="77777777" w:rsidR="00D01AA6" w:rsidRDefault="00000000">
      <w:pPr>
        <w:spacing w:line="600" w:lineRule="exact"/>
        <w:ind w:firstLine="640"/>
        <w:rPr>
          <w:rFonts w:ascii="仿宋" w:eastAsia="仿宋" w:hAnsi="仿宋"/>
          <w:b/>
          <w:color w:val="000000"/>
          <w:sz w:val="32"/>
          <w:szCs w:val="32"/>
        </w:rPr>
      </w:pPr>
      <w:r>
        <w:rPr>
          <w:rStyle w:val="ab"/>
          <w:rFonts w:ascii="仿宋" w:eastAsia="仿宋" w:hAnsi="仿宋" w:hint="eastAsia"/>
          <w:b w:val="0"/>
          <w:bCs/>
          <w:color w:val="000000"/>
          <w:sz w:val="32"/>
          <w:szCs w:val="32"/>
        </w:rPr>
        <w:t>（1）住房公积金（2210201）:支出决算为25.07万元，完成预算100%。</w:t>
      </w:r>
    </w:p>
    <w:p w14:paraId="1736F4A6" w14:textId="77777777" w:rsidR="00D01AA6" w:rsidRDefault="00000000">
      <w:pPr>
        <w:tabs>
          <w:tab w:val="right" w:pos="8306"/>
        </w:tabs>
        <w:spacing w:line="600" w:lineRule="exact"/>
        <w:ind w:firstLine="640"/>
        <w:outlineLvl w:val="1"/>
        <w:rPr>
          <w:rStyle w:val="20"/>
        </w:rPr>
      </w:pPr>
      <w:bookmarkStart w:id="57" w:name="_Toc15396608"/>
      <w:bookmarkStart w:id="58" w:name="_Toc15377214"/>
      <w:bookmarkStart w:id="59" w:name="_Toc32515"/>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0"/>
          <w:rFonts w:ascii="黑体" w:eastAsia="黑体" w:hAnsi="黑体" w:hint="eastAsia"/>
          <w:b w:val="0"/>
        </w:rPr>
        <w:t>般公共预算财政拨款基本支出决算情况说明</w:t>
      </w:r>
      <w:bookmarkEnd w:id="57"/>
      <w:bookmarkEnd w:id="58"/>
      <w:bookmarkEnd w:id="59"/>
      <w:r>
        <w:rPr>
          <w:rStyle w:val="20"/>
          <w:rFonts w:ascii="黑体" w:eastAsia="黑体" w:hAnsi="黑体"/>
          <w:b w:val="0"/>
        </w:rPr>
        <w:tab/>
      </w:r>
    </w:p>
    <w:p w14:paraId="32543BC1" w14:textId="77777777" w:rsidR="00D01AA6" w:rsidRDefault="00000000">
      <w:pPr>
        <w:spacing w:line="600" w:lineRule="exact"/>
        <w:ind w:firstLine="645"/>
        <w:rPr>
          <w:rFonts w:ascii="仿宋" w:eastAsia="仿宋" w:hAnsi="仿宋"/>
          <w:sz w:val="32"/>
          <w:szCs w:val="32"/>
        </w:rPr>
      </w:pPr>
      <w:r>
        <w:rPr>
          <w:rFonts w:ascii="仿宋" w:eastAsia="仿宋" w:hAnsi="仿宋"/>
          <w:sz w:val="32"/>
          <w:szCs w:val="32"/>
        </w:rPr>
        <w:lastRenderedPageBreak/>
        <w:t>20</w:t>
      </w:r>
      <w:r>
        <w:rPr>
          <w:rFonts w:ascii="仿宋" w:eastAsia="仿宋" w:hAnsi="仿宋" w:hint="eastAsia"/>
          <w:sz w:val="32"/>
          <w:szCs w:val="32"/>
        </w:rPr>
        <w:t>21年一般公共预算财政拨款基本支出471.88万元，其中：</w:t>
      </w:r>
    </w:p>
    <w:p w14:paraId="64851E79" w14:textId="77777777" w:rsidR="00D01AA6" w:rsidRDefault="00000000">
      <w:pPr>
        <w:spacing w:line="600" w:lineRule="exact"/>
        <w:ind w:firstLine="645"/>
        <w:rPr>
          <w:rFonts w:ascii="仿宋" w:eastAsia="仿宋" w:hAnsi="仿宋"/>
          <w:sz w:val="32"/>
          <w:szCs w:val="32"/>
        </w:rPr>
      </w:pPr>
      <w:r>
        <w:rPr>
          <w:rFonts w:ascii="仿宋" w:eastAsia="仿宋" w:hAnsi="仿宋" w:hint="eastAsia"/>
          <w:sz w:val="32"/>
          <w:szCs w:val="32"/>
        </w:rPr>
        <w:t>人员经费409.32万元，主要包括：基本工资88.64万元、津贴补贴19.67万元、奖金81.13万元、绩效工资44.96万元、机关事业单位基本养老保险缴费22.77万元、职业年金缴费11.95万元、职工基本医疗保险缴费16.43万元、公务员医疗补助缴费4.24万元、其他社会保障缴费7.32万元、其他工资福利支出3.21万元、离休费11.14万元、生活补助1.84万元、住房公积金25.07万元、其他对个人和家庭的补助支出70.95万元。</w:t>
      </w:r>
      <w:r>
        <w:rPr>
          <w:rFonts w:ascii="仿宋" w:eastAsia="仿宋" w:hAnsi="仿宋"/>
          <w:sz w:val="32"/>
          <w:szCs w:val="32"/>
        </w:rPr>
        <w:br/>
      </w:r>
      <w:r>
        <w:rPr>
          <w:rFonts w:ascii="仿宋" w:eastAsia="仿宋" w:hAnsi="仿宋" w:hint="eastAsia"/>
          <w:sz w:val="32"/>
          <w:szCs w:val="32"/>
        </w:rPr>
        <w:t xml:space="preserve">　　公用经费62.56万元，主要包括：办公费5.6万元、印刷费5.31万元、水费0.88万元、电费1.41万元、物业管理费2.16万元、差旅费3.09万元、维修（护）费0.76万元、会议费0.32万元、培训费0.30万元、公务接待费0.28万元、劳务费8.23万元、工会经费2.91万元、福利费4.29万元、公务用车运行维护费12.72万元、其他交通费5.22万元、其他商品和服务支出8.81万元、办公设备购置0.27万元。</w:t>
      </w:r>
    </w:p>
    <w:p w14:paraId="61EEED1C" w14:textId="77777777" w:rsidR="00D01AA6" w:rsidRDefault="00D01AA6">
      <w:pPr>
        <w:spacing w:line="600" w:lineRule="exact"/>
        <w:ind w:firstLine="640"/>
        <w:rPr>
          <w:rFonts w:ascii="仿宋" w:eastAsia="仿宋" w:hAnsi="仿宋"/>
          <w:b/>
          <w:sz w:val="32"/>
          <w:szCs w:val="32"/>
        </w:rPr>
      </w:pPr>
    </w:p>
    <w:p w14:paraId="260B2D41" w14:textId="77777777" w:rsidR="00D01AA6" w:rsidRDefault="00000000">
      <w:pPr>
        <w:spacing w:line="600" w:lineRule="exact"/>
        <w:ind w:firstLine="640"/>
        <w:outlineLvl w:val="1"/>
        <w:rPr>
          <w:rStyle w:val="20"/>
          <w:rFonts w:ascii="黑体" w:eastAsia="黑体" w:hAnsi="黑体"/>
          <w:b w:val="0"/>
        </w:rPr>
      </w:pPr>
      <w:bookmarkStart w:id="60" w:name="_Toc15377215"/>
      <w:bookmarkStart w:id="61" w:name="_Toc15396609"/>
      <w:bookmarkStart w:id="62" w:name="_Toc24569"/>
      <w:r>
        <w:rPr>
          <w:rFonts w:ascii="黑体" w:eastAsia="黑体" w:hint="eastAsia"/>
          <w:sz w:val="32"/>
          <w:szCs w:val="32"/>
        </w:rPr>
        <w:t>七、</w:t>
      </w:r>
      <w:r>
        <w:rPr>
          <w:rStyle w:val="20"/>
          <w:rFonts w:ascii="黑体" w:eastAsia="黑体" w:hAnsi="黑体" w:hint="eastAsia"/>
        </w:rPr>
        <w:t>“</w:t>
      </w:r>
      <w:r>
        <w:rPr>
          <w:rStyle w:val="20"/>
          <w:rFonts w:ascii="黑体" w:eastAsia="黑体" w:hAnsi="黑体" w:hint="eastAsia"/>
          <w:b w:val="0"/>
        </w:rPr>
        <w:t>三公”经费财政拨款支出决算情况说明</w:t>
      </w:r>
      <w:bookmarkEnd w:id="60"/>
      <w:bookmarkEnd w:id="61"/>
      <w:bookmarkEnd w:id="62"/>
    </w:p>
    <w:p w14:paraId="15D3E78A" w14:textId="77777777" w:rsidR="00D01AA6" w:rsidRDefault="00000000">
      <w:pPr>
        <w:spacing w:line="600" w:lineRule="exact"/>
        <w:ind w:firstLine="640"/>
        <w:outlineLvl w:val="2"/>
        <w:rPr>
          <w:rFonts w:ascii="仿宋" w:eastAsia="仿宋" w:hAnsi="仿宋"/>
          <w:b/>
          <w:sz w:val="32"/>
          <w:szCs w:val="32"/>
        </w:rPr>
      </w:pPr>
      <w:bookmarkStart w:id="63" w:name="_Toc15377216"/>
      <w:r>
        <w:rPr>
          <w:rFonts w:ascii="仿宋" w:eastAsia="仿宋" w:hAnsi="仿宋" w:hint="eastAsia"/>
          <w:b/>
          <w:sz w:val="32"/>
          <w:szCs w:val="32"/>
        </w:rPr>
        <w:t>（一）“三公”经费财政拨款支出决算总体情况说明</w:t>
      </w:r>
      <w:bookmarkEnd w:id="63"/>
    </w:p>
    <w:p w14:paraId="7D665333" w14:textId="77777777" w:rsidR="00D01AA6"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21年“三公”经费财政拨款支出决算为13.00万元，完成预算100</w:t>
      </w:r>
      <w:r>
        <w:rPr>
          <w:rFonts w:ascii="仿宋" w:eastAsia="仿宋" w:hAnsi="仿宋"/>
          <w:sz w:val="32"/>
          <w:szCs w:val="32"/>
        </w:rPr>
        <w:t>%</w:t>
      </w:r>
      <w:r>
        <w:rPr>
          <w:rFonts w:ascii="仿宋" w:eastAsia="仿宋" w:hAnsi="仿宋" w:hint="eastAsia"/>
          <w:sz w:val="32"/>
          <w:szCs w:val="32"/>
        </w:rPr>
        <w:t>，决算数与预算数持平。</w:t>
      </w:r>
    </w:p>
    <w:p w14:paraId="5992C2F6" w14:textId="77777777" w:rsidR="00D01AA6" w:rsidRDefault="00000000">
      <w:pPr>
        <w:spacing w:line="600" w:lineRule="exact"/>
        <w:ind w:firstLine="640"/>
        <w:outlineLvl w:val="2"/>
        <w:rPr>
          <w:rFonts w:ascii="仿宋" w:eastAsia="仿宋" w:hAnsi="仿宋"/>
          <w:b/>
          <w:sz w:val="32"/>
          <w:szCs w:val="32"/>
        </w:rPr>
      </w:pPr>
      <w:bookmarkStart w:id="64" w:name="_Toc15377217"/>
      <w:r>
        <w:rPr>
          <w:rFonts w:ascii="仿宋" w:eastAsia="仿宋" w:hAnsi="仿宋" w:hint="eastAsia"/>
          <w:b/>
          <w:sz w:val="32"/>
          <w:szCs w:val="32"/>
        </w:rPr>
        <w:lastRenderedPageBreak/>
        <w:t>（二）“三公”经费财政拨款支出决算具体情况说明</w:t>
      </w:r>
      <w:bookmarkEnd w:id="64"/>
    </w:p>
    <w:p w14:paraId="6E4E45E2" w14:textId="77777777" w:rsidR="00D01AA6" w:rsidRDefault="00000000">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21年“三公”经费财政拨款支出决算中，因公出国（境）费支出决算0万元，占0</w:t>
      </w:r>
      <w:r>
        <w:rPr>
          <w:rFonts w:ascii="仿宋" w:eastAsia="仿宋" w:hAnsi="仿宋"/>
          <w:sz w:val="32"/>
          <w:szCs w:val="32"/>
        </w:rPr>
        <w:t>%</w:t>
      </w:r>
      <w:r>
        <w:rPr>
          <w:rFonts w:ascii="仿宋" w:eastAsia="仿宋" w:hAnsi="仿宋" w:hint="eastAsia"/>
          <w:sz w:val="32"/>
          <w:szCs w:val="32"/>
        </w:rPr>
        <w:t>；公务用车购置及运行维护费支出决算12.72元，占97.85</w:t>
      </w:r>
      <w:r>
        <w:rPr>
          <w:rFonts w:ascii="仿宋" w:eastAsia="仿宋" w:hAnsi="仿宋"/>
          <w:sz w:val="32"/>
          <w:szCs w:val="32"/>
        </w:rPr>
        <w:t>%</w:t>
      </w:r>
      <w:r>
        <w:rPr>
          <w:rFonts w:ascii="仿宋" w:eastAsia="仿宋" w:hAnsi="仿宋" w:hint="eastAsia"/>
          <w:sz w:val="32"/>
          <w:szCs w:val="32"/>
        </w:rPr>
        <w:t>；公务接待费支出决算0.28万元，占2.15</w:t>
      </w:r>
      <w:r>
        <w:rPr>
          <w:rFonts w:ascii="仿宋" w:eastAsia="仿宋" w:hAnsi="仿宋"/>
          <w:sz w:val="32"/>
          <w:szCs w:val="32"/>
        </w:rPr>
        <w:t>%</w:t>
      </w:r>
      <w:r>
        <w:rPr>
          <w:rFonts w:ascii="仿宋" w:eastAsia="仿宋" w:hAnsi="仿宋" w:hint="eastAsia"/>
          <w:sz w:val="32"/>
          <w:szCs w:val="32"/>
        </w:rPr>
        <w:t>。具体情况如下：</w:t>
      </w:r>
    </w:p>
    <w:p w14:paraId="4BDBEC3B" w14:textId="5D3421DA" w:rsidR="00D01AA6" w:rsidRDefault="002B6C56">
      <w:pPr>
        <w:pStyle w:val="a3"/>
        <w:spacing w:before="93"/>
        <w:ind w:firstLineChars="300" w:firstLine="900"/>
      </w:pPr>
      <w:r>
        <w:rPr>
          <w:noProof/>
        </w:rPr>
        <w:drawing>
          <wp:inline distT="0" distB="0" distL="0" distR="0" wp14:anchorId="1D1C92E1" wp14:editId="780E71E4">
            <wp:extent cx="4876800" cy="3079750"/>
            <wp:effectExtent l="0" t="0" r="0" b="0"/>
            <wp:docPr id="5" name="图片框 10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框 103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76800" cy="3079750"/>
                    </a:xfrm>
                    <a:prstGeom prst="rect">
                      <a:avLst/>
                    </a:prstGeom>
                    <a:noFill/>
                    <a:ln>
                      <a:noFill/>
                    </a:ln>
                  </pic:spPr>
                </pic:pic>
              </a:graphicData>
            </a:graphic>
          </wp:inline>
        </w:drawing>
      </w:r>
    </w:p>
    <w:p w14:paraId="4F027A76" w14:textId="77777777" w:rsidR="00D01AA6" w:rsidRDefault="00000000">
      <w:pPr>
        <w:spacing w:line="600" w:lineRule="exact"/>
        <w:ind w:firstLine="640"/>
        <w:rPr>
          <w:rFonts w:ascii="仿宋" w:eastAsia="仿宋" w:hAnsi="仿宋"/>
          <w:sz w:val="32"/>
          <w:szCs w:val="32"/>
        </w:rPr>
      </w:pPr>
      <w:r>
        <w:rPr>
          <w:rFonts w:ascii="仿宋" w:eastAsia="仿宋" w:hAnsi="仿宋" w:hint="eastAsia"/>
          <w:sz w:val="32"/>
          <w:szCs w:val="32"/>
        </w:rPr>
        <w:t>（图7：“三公”经费财政拨款支出结构）（饼状图）</w:t>
      </w:r>
    </w:p>
    <w:p w14:paraId="2D20D157" w14:textId="77777777" w:rsidR="00D01AA6" w:rsidRDefault="00000000">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因公出国（境）经费支出0</w:t>
      </w:r>
      <w:r>
        <w:rPr>
          <w:rFonts w:ascii="仿宋_GB2312" w:eastAsia="仿宋_GB2312" w:hint="eastAsia"/>
          <w:sz w:val="32"/>
          <w:szCs w:val="32"/>
        </w:rPr>
        <w:t>万元，</w:t>
      </w:r>
      <w:r>
        <w:rPr>
          <w:rStyle w:val="ab"/>
          <w:rFonts w:ascii="仿宋" w:eastAsia="仿宋" w:hAnsi="仿宋" w:hint="eastAsia"/>
          <w:b w:val="0"/>
          <w:bCs/>
          <w:sz w:val="32"/>
          <w:szCs w:val="32"/>
        </w:rPr>
        <w:t>完成预算0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全年安排因公出国（境）团组0次，出国（境）0人。因公出国（境）支出决算与</w:t>
      </w:r>
      <w:r>
        <w:rPr>
          <w:rFonts w:ascii="仿宋_GB2312" w:eastAsia="仿宋_GB2312"/>
          <w:sz w:val="32"/>
          <w:szCs w:val="32"/>
        </w:rPr>
        <w:t>20</w:t>
      </w:r>
      <w:r>
        <w:rPr>
          <w:rFonts w:ascii="仿宋_GB2312" w:eastAsia="仿宋_GB2312" w:hint="eastAsia"/>
          <w:sz w:val="32"/>
          <w:szCs w:val="32"/>
        </w:rPr>
        <w:t>20年持平。</w:t>
      </w:r>
    </w:p>
    <w:p w14:paraId="5F0BD397" w14:textId="77777777" w:rsidR="00D01AA6" w:rsidRDefault="00000000">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w:t>
      </w:r>
      <w:r>
        <w:rPr>
          <w:rFonts w:ascii="仿宋_GB2312" w:eastAsia="仿宋_GB2312" w:hint="eastAsia"/>
          <w:sz w:val="32"/>
          <w:szCs w:val="32"/>
        </w:rPr>
        <w:t>12.72万元,</w:t>
      </w:r>
      <w:r>
        <w:rPr>
          <w:rStyle w:val="ab"/>
          <w:rFonts w:ascii="仿宋" w:eastAsia="仿宋" w:hAnsi="仿宋" w:hint="eastAsia"/>
          <w:b w:val="0"/>
          <w:bCs/>
          <w:sz w:val="32"/>
          <w:szCs w:val="32"/>
        </w:rPr>
        <w:t>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20年减少54.21万元，下降81.00</w:t>
      </w:r>
      <w:r>
        <w:rPr>
          <w:rFonts w:ascii="仿宋_GB2312" w:eastAsia="仿宋_GB2312"/>
          <w:sz w:val="32"/>
          <w:szCs w:val="32"/>
        </w:rPr>
        <w:t>%</w:t>
      </w:r>
      <w:r>
        <w:rPr>
          <w:rFonts w:ascii="仿宋_GB2312" w:eastAsia="仿宋_GB2312" w:hint="eastAsia"/>
          <w:sz w:val="32"/>
          <w:szCs w:val="32"/>
        </w:rPr>
        <w:t>。主要原因是2021年未购置公务用车。</w:t>
      </w:r>
    </w:p>
    <w:p w14:paraId="63C131A7" w14:textId="77777777" w:rsidR="00D01AA6" w:rsidRDefault="00000000">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0万元。全年按规定更新购置</w:t>
      </w:r>
      <w:r>
        <w:rPr>
          <w:rFonts w:ascii="仿宋_GB2312" w:eastAsia="仿宋_GB2312" w:hint="eastAsia"/>
          <w:sz w:val="32"/>
          <w:szCs w:val="32"/>
        </w:rPr>
        <w:lastRenderedPageBreak/>
        <w:t>公务用车0辆，其中：轿车0辆、金额0万元，越野车0辆、金额0万元，载客汽车0辆、金额0万元。截至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月底，单位共有公务用车2辆，其中：轿车1辆、越野车1辆、载客汽车0辆。</w:t>
      </w:r>
    </w:p>
    <w:p w14:paraId="059ABFCB" w14:textId="77777777" w:rsidR="00D01AA6" w:rsidRDefault="00000000">
      <w:pPr>
        <w:spacing w:line="600" w:lineRule="exact"/>
        <w:ind w:firstLine="640"/>
        <w:rPr>
          <w:rFonts w:ascii="仿宋_GB2312" w:eastAsia="仿宋_GB2312"/>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12.72万元。主要用于协会</w:t>
      </w:r>
      <w:r>
        <w:rPr>
          <w:rFonts w:ascii="仿宋_GB2312" w:eastAsia="仿宋_GB2312"/>
          <w:sz w:val="32"/>
          <w:szCs w:val="32"/>
        </w:rPr>
        <w:t>下乡工作</w:t>
      </w:r>
      <w:r>
        <w:rPr>
          <w:rFonts w:ascii="仿宋_GB2312" w:eastAsia="仿宋_GB2312" w:hint="eastAsia"/>
          <w:sz w:val="32"/>
          <w:szCs w:val="32"/>
        </w:rPr>
        <w:t>、</w:t>
      </w:r>
      <w:r>
        <w:rPr>
          <w:rFonts w:ascii="仿宋_GB2312" w:eastAsia="仿宋_GB2312"/>
          <w:sz w:val="32"/>
          <w:szCs w:val="32"/>
        </w:rPr>
        <w:t>调研工作</w:t>
      </w:r>
      <w:r>
        <w:rPr>
          <w:rFonts w:ascii="仿宋_GB2312" w:eastAsia="仿宋_GB2312" w:hint="eastAsia"/>
          <w:sz w:val="32"/>
          <w:szCs w:val="32"/>
        </w:rPr>
        <w:t>等所需的公务用车燃料费、维修费、过路过桥费、保险费等支出。</w:t>
      </w:r>
    </w:p>
    <w:p w14:paraId="1CBC8658" w14:textId="77777777" w:rsidR="00D01AA6" w:rsidRDefault="00000000">
      <w:pPr>
        <w:spacing w:line="600" w:lineRule="exact"/>
        <w:ind w:firstLine="640"/>
        <w:rPr>
          <w:rFonts w:ascii="仿宋_GB2312" w:eastAsia="仿宋_GB2312"/>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hint="eastAsia"/>
          <w:sz w:val="32"/>
          <w:szCs w:val="32"/>
        </w:rPr>
        <w:t>0.28万元，</w:t>
      </w:r>
      <w:r>
        <w:rPr>
          <w:rStyle w:val="ab"/>
          <w:rFonts w:ascii="仿宋" w:eastAsia="仿宋" w:hAnsi="仿宋" w:hint="eastAsia"/>
          <w:b w:val="0"/>
          <w:bCs/>
          <w:sz w:val="32"/>
          <w:szCs w:val="32"/>
        </w:rPr>
        <w:t>完成预算100</w:t>
      </w:r>
      <w:r>
        <w:rPr>
          <w:rStyle w:val="ab"/>
          <w:rFonts w:ascii="仿宋" w:eastAsia="仿宋" w:hAnsi="仿宋"/>
          <w:b w:val="0"/>
          <w:bCs/>
          <w:sz w:val="32"/>
          <w:szCs w:val="32"/>
        </w:rPr>
        <w:t>%</w:t>
      </w:r>
      <w:r>
        <w:rPr>
          <w:rStyle w:val="ab"/>
          <w:rFonts w:ascii="仿宋" w:eastAsia="仿宋" w:hAnsi="仿宋" w:hint="eastAsia"/>
          <w:b w:val="0"/>
          <w:bCs/>
          <w:sz w:val="32"/>
          <w:szCs w:val="32"/>
        </w:rPr>
        <w:t>。</w:t>
      </w:r>
      <w:r>
        <w:rPr>
          <w:rFonts w:ascii="仿宋_GB2312" w:eastAsia="仿宋_GB2312" w:hint="eastAsia"/>
          <w:sz w:val="32"/>
          <w:szCs w:val="32"/>
        </w:rPr>
        <w:t>公务接待费支出决算比</w:t>
      </w:r>
      <w:r>
        <w:rPr>
          <w:rFonts w:ascii="仿宋_GB2312" w:eastAsia="仿宋_GB2312"/>
          <w:sz w:val="32"/>
          <w:szCs w:val="32"/>
        </w:rPr>
        <w:t>20</w:t>
      </w:r>
      <w:r>
        <w:rPr>
          <w:rFonts w:ascii="仿宋_GB2312" w:eastAsia="仿宋_GB2312" w:hint="eastAsia"/>
          <w:sz w:val="32"/>
          <w:szCs w:val="32"/>
        </w:rPr>
        <w:t>20年增加0.14万元，增长180</w:t>
      </w:r>
      <w:r>
        <w:rPr>
          <w:rFonts w:ascii="仿宋_GB2312" w:eastAsia="仿宋_GB2312"/>
          <w:sz w:val="32"/>
          <w:szCs w:val="32"/>
        </w:rPr>
        <w:t>%</w:t>
      </w:r>
      <w:r>
        <w:rPr>
          <w:rFonts w:ascii="仿宋_GB2312" w:eastAsia="仿宋_GB2312" w:hint="eastAsia"/>
          <w:sz w:val="32"/>
          <w:szCs w:val="32"/>
        </w:rPr>
        <w:t>。主要原因是公务接待次数增加。其中：</w:t>
      </w:r>
    </w:p>
    <w:p w14:paraId="077AAF45" w14:textId="77777777" w:rsidR="00D01AA6" w:rsidRDefault="00000000">
      <w:pPr>
        <w:spacing w:line="600" w:lineRule="exact"/>
        <w:ind w:firstLine="640"/>
        <w:rPr>
          <w:rFonts w:ascii="仿宋_GB2312" w:eastAsia="仿宋_GB2312"/>
          <w:sz w:val="32"/>
          <w:szCs w:val="32"/>
        </w:rPr>
      </w:pPr>
      <w:r>
        <w:rPr>
          <w:rFonts w:ascii="仿宋" w:eastAsia="仿宋" w:hAnsi="仿宋" w:hint="eastAsia"/>
          <w:b/>
          <w:sz w:val="32"/>
          <w:szCs w:val="32"/>
        </w:rPr>
        <w:t>国内公务接待支出</w:t>
      </w:r>
      <w:r>
        <w:rPr>
          <w:rFonts w:ascii="仿宋" w:eastAsia="仿宋" w:hAnsi="仿宋" w:hint="eastAsia"/>
          <w:sz w:val="32"/>
          <w:szCs w:val="32"/>
        </w:rPr>
        <w:t>0.28</w:t>
      </w:r>
      <w:r>
        <w:rPr>
          <w:rFonts w:ascii="仿宋_GB2312" w:eastAsia="仿宋_GB2312" w:hint="eastAsia"/>
          <w:sz w:val="32"/>
          <w:szCs w:val="32"/>
        </w:rPr>
        <w:t>万元，主要用于开展业务活动开支的用餐费等。国内公务接待3批次，19人次（不包括陪同人员），共计支出0.28万元，具体内容包括：用餐费0.28万元。</w:t>
      </w:r>
    </w:p>
    <w:p w14:paraId="08A2A09E" w14:textId="77777777" w:rsidR="00D01AA6" w:rsidRDefault="00000000">
      <w:pPr>
        <w:spacing w:line="600" w:lineRule="exact"/>
        <w:ind w:firstLineChars="200" w:firstLine="643"/>
        <w:rPr>
          <w:rFonts w:ascii="仿宋_GB2312" w:eastAsia="仿宋_GB2312"/>
          <w:sz w:val="32"/>
          <w:szCs w:val="32"/>
        </w:rPr>
      </w:pPr>
      <w:r>
        <w:rPr>
          <w:rFonts w:ascii="仿宋" w:eastAsia="仿宋" w:hAnsi="仿宋" w:hint="eastAsia"/>
          <w:b/>
          <w:sz w:val="32"/>
          <w:szCs w:val="32"/>
        </w:rPr>
        <w:t>外事接待支出</w:t>
      </w:r>
      <w:r>
        <w:rPr>
          <w:rFonts w:ascii="仿宋" w:eastAsia="仿宋" w:hAnsi="仿宋" w:hint="eastAsia"/>
          <w:sz w:val="32"/>
          <w:szCs w:val="32"/>
        </w:rPr>
        <w:t>0</w:t>
      </w:r>
      <w:r>
        <w:rPr>
          <w:rFonts w:ascii="仿宋_GB2312" w:eastAsia="仿宋_GB2312" w:hint="eastAsia"/>
          <w:sz w:val="32"/>
          <w:szCs w:val="32"/>
        </w:rPr>
        <w:t>万元，外事接待0批次，0人，共计支出0万元。</w:t>
      </w:r>
    </w:p>
    <w:p w14:paraId="61F889DD" w14:textId="77777777" w:rsidR="00D01AA6" w:rsidRDefault="00D01AA6">
      <w:pPr>
        <w:spacing w:line="600" w:lineRule="exact"/>
        <w:ind w:firstLine="640"/>
        <w:outlineLvl w:val="1"/>
        <w:rPr>
          <w:rFonts w:ascii="黑体" w:eastAsia="黑体"/>
          <w:sz w:val="32"/>
          <w:szCs w:val="32"/>
        </w:rPr>
      </w:pPr>
      <w:bookmarkStart w:id="65" w:name="_Toc15377218"/>
      <w:bookmarkStart w:id="66" w:name="_Toc15396610"/>
    </w:p>
    <w:p w14:paraId="16CDD388" w14:textId="77777777" w:rsidR="00D01AA6" w:rsidRDefault="00000000">
      <w:pPr>
        <w:spacing w:line="600" w:lineRule="exact"/>
        <w:ind w:firstLine="640"/>
        <w:outlineLvl w:val="1"/>
        <w:rPr>
          <w:rStyle w:val="20"/>
          <w:rFonts w:ascii="黑体" w:eastAsia="黑体" w:hAnsi="黑体"/>
        </w:rPr>
      </w:pPr>
      <w:bookmarkStart w:id="67" w:name="_Toc17881"/>
      <w:r>
        <w:rPr>
          <w:rFonts w:ascii="黑体" w:eastAsia="黑体" w:hint="eastAsia"/>
          <w:sz w:val="32"/>
          <w:szCs w:val="32"/>
        </w:rPr>
        <w:t>八、</w:t>
      </w:r>
      <w:r>
        <w:rPr>
          <w:rStyle w:val="20"/>
          <w:rFonts w:ascii="黑体" w:eastAsia="黑体" w:hAnsi="黑体" w:hint="eastAsia"/>
          <w:b w:val="0"/>
        </w:rPr>
        <w:t>政府性基金预算支出决算情况说明</w:t>
      </w:r>
      <w:bookmarkEnd w:id="65"/>
      <w:bookmarkEnd w:id="66"/>
      <w:bookmarkEnd w:id="67"/>
    </w:p>
    <w:p w14:paraId="7138BFA0" w14:textId="77777777" w:rsidR="00D01AA6"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14:paraId="291C584F" w14:textId="77777777" w:rsidR="00D01AA6" w:rsidRDefault="00D01AA6">
      <w:pPr>
        <w:spacing w:line="600" w:lineRule="exact"/>
        <w:ind w:firstLine="640"/>
        <w:rPr>
          <w:rFonts w:ascii="仿宋_GB2312" w:eastAsia="仿宋_GB2312"/>
          <w:sz w:val="32"/>
          <w:szCs w:val="32"/>
        </w:rPr>
      </w:pPr>
    </w:p>
    <w:p w14:paraId="3F7499DA" w14:textId="77777777" w:rsidR="00D01AA6" w:rsidRDefault="00000000">
      <w:pPr>
        <w:numPr>
          <w:ilvl w:val="0"/>
          <w:numId w:val="2"/>
        </w:numPr>
        <w:spacing w:line="600" w:lineRule="exact"/>
        <w:ind w:firstLine="640"/>
        <w:outlineLvl w:val="1"/>
        <w:rPr>
          <w:rStyle w:val="20"/>
          <w:rFonts w:ascii="黑体" w:eastAsia="黑体" w:hAnsi="黑体"/>
          <w:b w:val="0"/>
        </w:rPr>
      </w:pPr>
      <w:bookmarkStart w:id="68" w:name="_Toc15377219"/>
      <w:bookmarkStart w:id="69" w:name="_Toc15396611"/>
      <w:bookmarkStart w:id="70" w:name="_Toc27936"/>
      <w:r>
        <w:rPr>
          <w:rStyle w:val="20"/>
          <w:rFonts w:ascii="黑体" w:eastAsia="黑体" w:hAnsi="黑体" w:hint="eastAsia"/>
          <w:b w:val="0"/>
        </w:rPr>
        <w:t>国有资本经营预算支出决算情况说明</w:t>
      </w:r>
      <w:bookmarkEnd w:id="68"/>
      <w:bookmarkEnd w:id="69"/>
      <w:bookmarkEnd w:id="70"/>
    </w:p>
    <w:p w14:paraId="773F2126" w14:textId="77777777" w:rsidR="00D01AA6" w:rsidRDefault="00000000">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14:paraId="4BE7B0A8" w14:textId="77777777" w:rsidR="00D01AA6" w:rsidRDefault="00D01AA6">
      <w:pPr>
        <w:spacing w:line="580" w:lineRule="exact"/>
        <w:jc w:val="center"/>
        <w:rPr>
          <w:rFonts w:ascii="方正小标宋简体" w:eastAsia="方正小标宋简体" w:hAnsi="方正小标宋简体" w:cs="方正小标宋简体"/>
          <w:sz w:val="44"/>
          <w:szCs w:val="44"/>
        </w:rPr>
      </w:pPr>
    </w:p>
    <w:p w14:paraId="1270EEA2" w14:textId="77777777" w:rsidR="00D01AA6" w:rsidRDefault="00000000">
      <w:pPr>
        <w:numPr>
          <w:ilvl w:val="0"/>
          <w:numId w:val="2"/>
        </w:numPr>
        <w:spacing w:line="600" w:lineRule="exact"/>
        <w:ind w:firstLine="640"/>
        <w:outlineLvl w:val="1"/>
        <w:rPr>
          <w:rStyle w:val="20"/>
          <w:rFonts w:ascii="黑体" w:eastAsia="黑体" w:hAnsi="黑体"/>
          <w:b w:val="0"/>
        </w:rPr>
      </w:pPr>
      <w:bookmarkStart w:id="71" w:name="_Toc15377221"/>
      <w:bookmarkStart w:id="72" w:name="_Toc15396612"/>
      <w:bookmarkStart w:id="73" w:name="_Toc21254"/>
      <w:r>
        <w:rPr>
          <w:rStyle w:val="20"/>
          <w:rFonts w:ascii="黑体" w:eastAsia="黑体" w:hAnsi="黑体" w:hint="eastAsia"/>
          <w:b w:val="0"/>
        </w:rPr>
        <w:lastRenderedPageBreak/>
        <w:t>其他重要事项的情况说明</w:t>
      </w:r>
      <w:bookmarkEnd w:id="71"/>
      <w:bookmarkEnd w:id="72"/>
      <w:bookmarkEnd w:id="73"/>
    </w:p>
    <w:p w14:paraId="117F68EA" w14:textId="77777777" w:rsidR="00D01AA6" w:rsidRDefault="00000000">
      <w:pPr>
        <w:spacing w:line="600" w:lineRule="exact"/>
        <w:ind w:firstLineChars="200" w:firstLine="643"/>
        <w:outlineLvl w:val="2"/>
        <w:rPr>
          <w:rFonts w:ascii="仿宋" w:eastAsia="仿宋" w:hAnsi="仿宋"/>
          <w:sz w:val="32"/>
          <w:szCs w:val="32"/>
        </w:rPr>
      </w:pPr>
      <w:bookmarkStart w:id="74" w:name="_Toc15377222"/>
      <w:r>
        <w:rPr>
          <w:rFonts w:ascii="仿宋" w:eastAsia="仿宋" w:hAnsi="仿宋" w:hint="eastAsia"/>
          <w:b/>
          <w:sz w:val="32"/>
          <w:szCs w:val="32"/>
        </w:rPr>
        <w:t>（一）机关运行经费支出情况</w:t>
      </w:r>
      <w:bookmarkEnd w:id="74"/>
    </w:p>
    <w:p w14:paraId="5FE884FD" w14:textId="77777777" w:rsidR="00D01AA6"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21年，凉山州</w:t>
      </w:r>
      <w:r>
        <w:rPr>
          <w:rFonts w:ascii="仿宋_GB2312" w:eastAsia="仿宋_GB2312"/>
          <w:sz w:val="32"/>
          <w:szCs w:val="32"/>
        </w:rPr>
        <w:t>文联</w:t>
      </w:r>
      <w:r>
        <w:rPr>
          <w:rFonts w:ascii="仿宋_GB2312" w:eastAsia="仿宋_GB2312" w:hint="eastAsia"/>
          <w:sz w:val="32"/>
          <w:szCs w:val="32"/>
        </w:rPr>
        <w:t>机关运行经费支出62.56万元，比</w:t>
      </w:r>
      <w:r>
        <w:rPr>
          <w:rFonts w:ascii="仿宋_GB2312" w:eastAsia="仿宋_GB2312"/>
          <w:sz w:val="32"/>
          <w:szCs w:val="32"/>
        </w:rPr>
        <w:t>20</w:t>
      </w:r>
      <w:r>
        <w:rPr>
          <w:rFonts w:ascii="仿宋_GB2312" w:eastAsia="仿宋_GB2312" w:hint="eastAsia"/>
          <w:sz w:val="32"/>
          <w:szCs w:val="32"/>
        </w:rPr>
        <w:t>20年增加13.48万元，增长27.47</w:t>
      </w:r>
      <w:r>
        <w:rPr>
          <w:rFonts w:ascii="仿宋_GB2312" w:eastAsia="仿宋_GB2312"/>
          <w:sz w:val="32"/>
          <w:szCs w:val="32"/>
        </w:rPr>
        <w:t>%</w:t>
      </w:r>
      <w:r>
        <w:rPr>
          <w:rFonts w:ascii="仿宋_GB2312" w:eastAsia="仿宋_GB2312" w:hint="eastAsia"/>
          <w:sz w:val="32"/>
          <w:szCs w:val="32"/>
        </w:rPr>
        <w:t>。</w:t>
      </w:r>
      <w:r>
        <w:rPr>
          <w:rFonts w:ascii="仿宋_GB2312" w:eastAsia="仿宋_GB2312" w:hint="eastAsia"/>
          <w:color w:val="000000"/>
          <w:sz w:val="32"/>
          <w:szCs w:val="32"/>
        </w:rPr>
        <w:t>主要原因是人均公用经费增加。</w:t>
      </w:r>
    </w:p>
    <w:p w14:paraId="7642CFA6" w14:textId="77777777" w:rsidR="00D01AA6"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75" w:name="_Toc15377223"/>
      <w:r>
        <w:rPr>
          <w:rFonts w:ascii="仿宋" w:eastAsia="仿宋" w:hAnsi="仿宋" w:hint="eastAsia"/>
          <w:b/>
          <w:sz w:val="32"/>
          <w:szCs w:val="32"/>
        </w:rPr>
        <w:t>（二）政府采购支出情况</w:t>
      </w:r>
      <w:bookmarkEnd w:id="75"/>
    </w:p>
    <w:p w14:paraId="7C25092A" w14:textId="77777777" w:rsidR="00D01AA6" w:rsidRDefault="00000000">
      <w:pPr>
        <w:spacing w:line="600" w:lineRule="exact"/>
        <w:ind w:firstLineChars="200"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21年，凉山州文联政府采购支出总额12.75万元，其中：政府采购货物支出12.75万元、政府采购工程支出0万元、政府采购服务支出0万元。授予中小企业合同金额25.5万元，占政府采购支出总额的100</w:t>
      </w:r>
      <w:r>
        <w:rPr>
          <w:rFonts w:ascii="仿宋_GB2312" w:eastAsia="仿宋_GB2312"/>
          <w:sz w:val="32"/>
          <w:szCs w:val="32"/>
        </w:rPr>
        <w:t>%</w:t>
      </w:r>
      <w:r>
        <w:rPr>
          <w:rFonts w:ascii="仿宋_GB2312" w:eastAsia="仿宋_GB2312" w:hint="eastAsia"/>
          <w:sz w:val="32"/>
          <w:szCs w:val="32"/>
        </w:rPr>
        <w:t>，其中：授予小微企业合同金额0万元，占政府采购支出总额的0</w:t>
      </w:r>
      <w:r>
        <w:rPr>
          <w:rFonts w:ascii="仿宋_GB2312" w:eastAsia="仿宋_GB2312"/>
          <w:sz w:val="32"/>
          <w:szCs w:val="32"/>
        </w:rPr>
        <w:t>%</w:t>
      </w:r>
      <w:r>
        <w:rPr>
          <w:rFonts w:ascii="仿宋_GB2312" w:eastAsia="仿宋_GB2312" w:hint="eastAsia"/>
          <w:sz w:val="32"/>
          <w:szCs w:val="32"/>
        </w:rPr>
        <w:t>。</w:t>
      </w:r>
    </w:p>
    <w:p w14:paraId="33DD85D2" w14:textId="77777777" w:rsidR="00D01AA6"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bookmarkStart w:id="76" w:name="_Toc15377224"/>
      <w:r>
        <w:rPr>
          <w:rFonts w:ascii="仿宋" w:eastAsia="仿宋" w:hAnsi="仿宋" w:hint="eastAsia"/>
          <w:b/>
          <w:sz w:val="32"/>
          <w:szCs w:val="32"/>
        </w:rPr>
        <w:t>（三）国有资产占有使用情况</w:t>
      </w:r>
      <w:bookmarkEnd w:id="76"/>
    </w:p>
    <w:p w14:paraId="5463A2FA" w14:textId="77777777" w:rsidR="00D01AA6" w:rsidRDefault="00000000">
      <w:pPr>
        <w:autoSpaceDE w:val="0"/>
        <w:autoSpaceDN w:val="0"/>
        <w:adjustRightInd w:val="0"/>
        <w:spacing w:line="600" w:lineRule="exact"/>
        <w:ind w:firstLineChars="200" w:firstLine="640"/>
        <w:jc w:val="left"/>
        <w:rPr>
          <w:rFonts w:ascii="仿宋_GB2312" w:eastAsia="仿宋_GB2312"/>
          <w:sz w:val="32"/>
          <w:szCs w:val="32"/>
        </w:rPr>
      </w:pPr>
      <w:r>
        <w:rPr>
          <w:rFonts w:ascii="仿宋_GB2312" w:eastAsia="仿宋_GB2312" w:hint="eastAsia"/>
          <w:sz w:val="32"/>
          <w:szCs w:val="32"/>
        </w:rPr>
        <w:t>截至</w:t>
      </w:r>
      <w:r>
        <w:rPr>
          <w:rFonts w:ascii="仿宋_GB2312" w:eastAsia="仿宋_GB2312"/>
          <w:sz w:val="32"/>
          <w:szCs w:val="32"/>
        </w:rPr>
        <w:t>20</w:t>
      </w:r>
      <w:r>
        <w:rPr>
          <w:rFonts w:ascii="仿宋_GB2312" w:eastAsia="仿宋_GB2312" w:hint="eastAsia"/>
          <w:sz w:val="32"/>
          <w:szCs w:val="32"/>
        </w:rPr>
        <w:t>21年</w:t>
      </w:r>
      <w:r>
        <w:rPr>
          <w:rFonts w:ascii="仿宋_GB2312" w:eastAsia="仿宋_GB2312"/>
          <w:sz w:val="32"/>
          <w:szCs w:val="32"/>
        </w:rPr>
        <w:t>12</w:t>
      </w:r>
      <w:r>
        <w:rPr>
          <w:rFonts w:ascii="仿宋_GB2312" w:eastAsia="仿宋_GB2312" w:hint="eastAsia"/>
          <w:sz w:val="32"/>
          <w:szCs w:val="32"/>
        </w:rPr>
        <w:t>月</w:t>
      </w:r>
      <w:r>
        <w:rPr>
          <w:rFonts w:ascii="仿宋_GB2312" w:eastAsia="仿宋_GB2312"/>
          <w:sz w:val="32"/>
          <w:szCs w:val="32"/>
        </w:rPr>
        <w:t>31</w:t>
      </w:r>
      <w:r>
        <w:rPr>
          <w:rFonts w:ascii="仿宋_GB2312" w:eastAsia="仿宋_GB2312" w:hint="eastAsia"/>
          <w:sz w:val="32"/>
          <w:szCs w:val="32"/>
        </w:rPr>
        <w:t>日，州文联共有车辆2辆，其中：主要领导干部用车1辆、机要通信用车0辆、应急保障用车0辆、其他用车1辆，</w:t>
      </w:r>
      <w:r>
        <w:rPr>
          <w:rFonts w:ascii="仿宋_GB2312" w:eastAsia="仿宋_GB2312" w:hint="eastAsia"/>
          <w:color w:val="000000"/>
          <w:sz w:val="32"/>
          <w:szCs w:val="32"/>
        </w:rPr>
        <w:t>其他用车主要是用于协会下乡活动、调研工作等，</w:t>
      </w:r>
      <w:r>
        <w:rPr>
          <w:rFonts w:ascii="仿宋_GB2312" w:eastAsia="仿宋_GB2312" w:hint="eastAsia"/>
          <w:sz w:val="32"/>
          <w:szCs w:val="32"/>
        </w:rPr>
        <w:t>单价</w:t>
      </w:r>
      <w:r>
        <w:rPr>
          <w:rFonts w:ascii="仿宋_GB2312" w:eastAsia="仿宋_GB2312"/>
          <w:sz w:val="32"/>
          <w:szCs w:val="32"/>
        </w:rPr>
        <w:t>50</w:t>
      </w:r>
      <w:r>
        <w:rPr>
          <w:rFonts w:ascii="仿宋_GB2312" w:eastAsia="仿宋_GB2312" w:hint="eastAsia"/>
          <w:sz w:val="32"/>
          <w:szCs w:val="32"/>
        </w:rPr>
        <w:t>万元以上通用设备0台（套），单价</w:t>
      </w:r>
      <w:r>
        <w:rPr>
          <w:rFonts w:ascii="仿宋_GB2312" w:eastAsia="仿宋_GB2312"/>
          <w:sz w:val="32"/>
          <w:szCs w:val="32"/>
        </w:rPr>
        <w:t>100</w:t>
      </w:r>
      <w:r>
        <w:rPr>
          <w:rFonts w:ascii="仿宋_GB2312" w:eastAsia="仿宋_GB2312" w:hint="eastAsia"/>
          <w:sz w:val="32"/>
          <w:szCs w:val="32"/>
        </w:rPr>
        <w:t>万元以上专用设备0台（套）。</w:t>
      </w:r>
    </w:p>
    <w:p w14:paraId="0D703AEC" w14:textId="77777777" w:rsidR="00D01AA6" w:rsidRDefault="00000000">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14:paraId="25912B01" w14:textId="77777777" w:rsidR="00D01AA6" w:rsidRDefault="00000000">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根据预算绩效管理要求，本部门在2021年度预算编制阶段，组织对《凉山文学》汉文版发行费、《凉山文学》彝族文版、新媒体运营推广、《凉山文学》美丽新凉山特刊、整理搜集民间文学项目等5个项目开展了预算事前绩效评估，对5个项目编制了绩效目标，预算执行过程中，选取5个项</w:t>
      </w:r>
      <w:r>
        <w:rPr>
          <w:rFonts w:ascii="仿宋_GB2312" w:eastAsia="仿宋_GB2312" w:hAnsi="仿宋_GB2312" w:cs="仿宋_GB2312" w:hint="eastAsia"/>
          <w:sz w:val="32"/>
          <w:szCs w:val="32"/>
        </w:rPr>
        <w:lastRenderedPageBreak/>
        <w:t>目开展绩效监控，年终执行完毕后，对5个项目开展了绩效自评。同时，本部门对2021年部门整体开展绩效自评，《2021年州文联部门整体绩效评价报告》见附件（第四部分）。</w:t>
      </w:r>
    </w:p>
    <w:p w14:paraId="4D2B92D7" w14:textId="77777777" w:rsidR="00D01AA6" w:rsidRDefault="00000000">
      <w:pPr>
        <w:widowControl/>
        <w:jc w:val="left"/>
        <w:rPr>
          <w:rFonts w:ascii="仿宋_GB2312" w:eastAsia="仿宋_GB2312"/>
          <w:b/>
          <w:sz w:val="32"/>
          <w:szCs w:val="32"/>
        </w:rPr>
      </w:pPr>
      <w:r>
        <w:rPr>
          <w:rFonts w:ascii="仿宋_GB2312" w:eastAsia="仿宋_GB2312"/>
          <w:b/>
          <w:sz w:val="32"/>
          <w:szCs w:val="32"/>
        </w:rPr>
        <w:br w:type="page"/>
      </w:r>
    </w:p>
    <w:p w14:paraId="1BAD14E7" w14:textId="77777777" w:rsidR="00D01AA6" w:rsidRDefault="00000000">
      <w:pPr>
        <w:numPr>
          <w:ilvl w:val="0"/>
          <w:numId w:val="3"/>
        </w:numPr>
        <w:spacing w:line="600" w:lineRule="exact"/>
        <w:ind w:firstLineChars="150" w:firstLine="660"/>
        <w:jc w:val="center"/>
        <w:outlineLvl w:val="0"/>
        <w:rPr>
          <w:rStyle w:val="10"/>
          <w:rFonts w:ascii="黑体" w:eastAsia="黑体" w:hAnsi="黑体"/>
          <w:b w:val="0"/>
        </w:rPr>
      </w:pPr>
      <w:bookmarkStart w:id="77" w:name="_Toc15377225"/>
      <w:bookmarkStart w:id="78" w:name="_Toc15396613"/>
      <w:bookmarkStart w:id="79" w:name="_Toc6865"/>
      <w:r>
        <w:rPr>
          <w:rFonts w:ascii="黑体" w:eastAsia="黑体" w:hAnsi="黑体" w:hint="eastAsia"/>
          <w:sz w:val="44"/>
          <w:szCs w:val="44"/>
        </w:rPr>
        <w:t>名</w:t>
      </w:r>
      <w:r>
        <w:rPr>
          <w:rStyle w:val="10"/>
          <w:rFonts w:ascii="黑体" w:eastAsia="黑体" w:hAnsi="黑体" w:hint="eastAsia"/>
          <w:b w:val="0"/>
        </w:rPr>
        <w:t>词解释</w:t>
      </w:r>
      <w:bookmarkEnd w:id="77"/>
      <w:bookmarkEnd w:id="78"/>
      <w:bookmarkEnd w:id="79"/>
    </w:p>
    <w:p w14:paraId="5A07B0BE" w14:textId="77777777" w:rsidR="00D01AA6" w:rsidRDefault="00D01AA6">
      <w:pPr>
        <w:spacing w:line="600" w:lineRule="exact"/>
        <w:jc w:val="left"/>
        <w:rPr>
          <w:rFonts w:ascii="宋体"/>
          <w:b/>
          <w:sz w:val="44"/>
          <w:szCs w:val="44"/>
        </w:rPr>
      </w:pPr>
    </w:p>
    <w:p w14:paraId="74144628"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1.</w:t>
      </w:r>
      <w:r>
        <w:rPr>
          <w:rFonts w:ascii="仿宋_GB2312" w:eastAsia="仿宋_GB2312" w:hint="eastAsia"/>
          <w:sz w:val="32"/>
          <w:szCs w:val="32"/>
        </w:rPr>
        <w:t>财政拨款收入：指单位从同级财政部门取得的财政预算资金。</w:t>
      </w:r>
    </w:p>
    <w:p w14:paraId="48D46444"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2.</w:t>
      </w:r>
      <w:r>
        <w:rPr>
          <w:rFonts w:ascii="仿宋_GB2312" w:eastAsia="仿宋_GB2312" w:hint="eastAsia"/>
          <w:sz w:val="32"/>
          <w:szCs w:val="32"/>
        </w:rPr>
        <w:t>事业收入：指事业单位开展专业业务活动及辅助活动取得的收入。</w:t>
      </w:r>
    </w:p>
    <w:p w14:paraId="171768BC"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3.</w:t>
      </w:r>
      <w:r>
        <w:rPr>
          <w:rFonts w:ascii="仿宋_GB2312" w:eastAsia="仿宋_GB2312" w:hint="eastAsia"/>
          <w:sz w:val="32"/>
          <w:szCs w:val="32"/>
        </w:rPr>
        <w:t>经营收入：指事业单位在专业业务活动及其辅助活动之外开展非独立核算经营活动取得的收入。</w:t>
      </w:r>
    </w:p>
    <w:p w14:paraId="7819BA94"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4.</w:t>
      </w:r>
      <w:r>
        <w:rPr>
          <w:rFonts w:ascii="仿宋_GB2312" w:eastAsia="仿宋_GB2312" w:hint="eastAsia"/>
          <w:sz w:val="32"/>
          <w:szCs w:val="32"/>
        </w:rPr>
        <w:t>其他收入：指单位取得的除上述收入以外的各项收入。</w:t>
      </w:r>
      <w:r>
        <w:rPr>
          <w:rFonts w:ascii="仿宋_GB2312" w:eastAsia="仿宋_GB2312"/>
          <w:sz w:val="32"/>
          <w:szCs w:val="32"/>
        </w:rPr>
        <w:t xml:space="preserve"> </w:t>
      </w:r>
    </w:p>
    <w:p w14:paraId="0E17A825"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5.</w:t>
      </w:r>
      <w:r>
        <w:rPr>
          <w:rFonts w:ascii="仿宋_GB2312" w:eastAsia="仿宋_GB2312" w:hint="eastAsia"/>
          <w:sz w:val="32"/>
          <w:szCs w:val="32"/>
        </w:rPr>
        <w:t>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ascii="仿宋_GB2312" w:eastAsia="仿宋_GB2312"/>
          <w:sz w:val="32"/>
          <w:szCs w:val="32"/>
        </w:rPr>
        <w:t xml:space="preserve"> </w:t>
      </w:r>
    </w:p>
    <w:p w14:paraId="3C9A47F7"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6.</w:t>
      </w:r>
      <w:r>
        <w:rPr>
          <w:rFonts w:ascii="仿宋_GB2312" w:eastAsia="仿宋_GB2312" w:hint="eastAsia"/>
          <w:sz w:val="32"/>
          <w:szCs w:val="32"/>
        </w:rPr>
        <w:t>年初结转和结余：指以前年度尚未完成、结转到本年按有关规定继续使用的资金。</w:t>
      </w:r>
      <w:r>
        <w:rPr>
          <w:rFonts w:ascii="仿宋_GB2312" w:eastAsia="仿宋_GB2312"/>
          <w:sz w:val="32"/>
          <w:szCs w:val="32"/>
        </w:rPr>
        <w:t xml:space="preserve"> </w:t>
      </w:r>
    </w:p>
    <w:p w14:paraId="05C7B53C"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7.</w:t>
      </w:r>
      <w:r>
        <w:rPr>
          <w:rFonts w:ascii="仿宋_GB2312" w:eastAsia="仿宋_GB2312" w:hint="eastAsia"/>
          <w:sz w:val="32"/>
          <w:szCs w:val="32"/>
        </w:rPr>
        <w:t>结余分配：指事业单位按照事业单位会计制度的规定从非财政补助结余中分配的事业基金和职工福利基金等。</w:t>
      </w:r>
    </w:p>
    <w:p w14:paraId="598084DB"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sz w:val="32"/>
          <w:szCs w:val="32"/>
        </w:rPr>
        <w:t>8</w:t>
      </w:r>
      <w:r>
        <w:rPr>
          <w:rFonts w:ascii="仿宋_GB2312" w:eastAsia="仿宋_GB2312" w:hint="eastAsia"/>
          <w:sz w:val="32"/>
          <w:szCs w:val="32"/>
        </w:rPr>
        <w:t>、年末结转和结余：指单位按有关规定结转到下年或以后年度继续使用的资金。</w:t>
      </w:r>
    </w:p>
    <w:p w14:paraId="32759908" w14:textId="77777777" w:rsidR="00D01AA6"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t>9.</w:t>
      </w:r>
      <w:r>
        <w:rPr>
          <w:rFonts w:ascii="仿宋_GB2312" w:eastAsia="仿宋_GB2312" w:hint="eastAsia"/>
          <w:color w:val="000000"/>
          <w:sz w:val="32"/>
          <w:szCs w:val="32"/>
        </w:rPr>
        <w:t>其他文化体育与传媒（2079999）：指专业业务活动及其辅助活动之外开展非独立核算经营活动发生的支出。</w:t>
      </w:r>
    </w:p>
    <w:p w14:paraId="647C88B8"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10.社会保障和就业: 社会保险业务管理事务</w:t>
      </w:r>
      <w:r>
        <w:rPr>
          <w:rStyle w:val="ab"/>
          <w:rFonts w:ascii="仿宋" w:eastAsia="仿宋" w:hAnsi="仿宋" w:hint="eastAsia"/>
          <w:b w:val="0"/>
          <w:bCs/>
          <w:color w:val="000000"/>
          <w:sz w:val="32"/>
          <w:szCs w:val="32"/>
        </w:rPr>
        <w:lastRenderedPageBreak/>
        <w:t>（2080107）：指缴纳职工工伤失业险。</w:t>
      </w:r>
    </w:p>
    <w:p w14:paraId="1895D942"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11. 社会保障和就业:未归口管理的行政单位离退休(2080504): 指缴纳离退休人员医疗保障 。</w:t>
      </w:r>
    </w:p>
    <w:p w14:paraId="47BC675B"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12. 社会保障和就业:机关事业单位基本养老保险缴费（2080505）：指在职职工养老保险 。</w:t>
      </w:r>
    </w:p>
    <w:p w14:paraId="21D5F89C"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13. 社会保障和就业:机关事业单位职业年金缴费（2080506）：指职工职业年金缴费。</w:t>
      </w:r>
    </w:p>
    <w:p w14:paraId="28AF3763"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14. 社会保障和就业:其他行政事业单位离退休（2080599）：指离退休人员医疗保障。</w:t>
      </w:r>
    </w:p>
    <w:p w14:paraId="64ECAC13"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15.卫生健康支出：行政单位医疗（2101101）：指职工医疗保障。</w:t>
      </w:r>
      <w:r>
        <w:rPr>
          <w:rStyle w:val="ab"/>
          <w:rFonts w:ascii="仿宋" w:eastAsia="仿宋" w:hAnsi="仿宋" w:hint="eastAsia"/>
          <w:b w:val="0"/>
          <w:bCs/>
          <w:color w:val="000000"/>
          <w:sz w:val="32"/>
          <w:szCs w:val="32"/>
        </w:rPr>
        <w:tab/>
      </w:r>
    </w:p>
    <w:p w14:paraId="6692504F"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16. 卫生健康支出：事业单位医疗（2101102）：指职工医疗保障。</w:t>
      </w:r>
    </w:p>
    <w:p w14:paraId="161FC6C3"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17. 卫生健康支出：公务员医疗补助（2101103）：指职工医疗保障。</w:t>
      </w:r>
    </w:p>
    <w:p w14:paraId="5C18D512"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18. 卫生健康支出：其他行政事业单位医疗支出（2101199）：指职工医疗保障。</w:t>
      </w:r>
    </w:p>
    <w:p w14:paraId="3FB2F027" w14:textId="77777777" w:rsidR="00D01AA6" w:rsidRDefault="00000000">
      <w:pPr>
        <w:spacing w:line="600" w:lineRule="exact"/>
        <w:ind w:firstLine="640"/>
        <w:rPr>
          <w:rStyle w:val="ab"/>
          <w:rFonts w:ascii="仿宋" w:eastAsia="仿宋" w:hAnsi="仿宋"/>
          <w:b w:val="0"/>
          <w:bCs/>
          <w:color w:val="000000"/>
          <w:sz w:val="32"/>
          <w:szCs w:val="32"/>
        </w:rPr>
      </w:pPr>
      <w:r>
        <w:rPr>
          <w:rStyle w:val="ab"/>
          <w:rFonts w:ascii="仿宋" w:eastAsia="仿宋" w:hAnsi="仿宋" w:hint="eastAsia"/>
          <w:b w:val="0"/>
          <w:bCs/>
          <w:color w:val="000000"/>
          <w:sz w:val="32"/>
          <w:szCs w:val="32"/>
        </w:rPr>
        <w:t>19. 卫生健康支出：其他卫生健康支出（2109901）：指职工体检支出。</w:t>
      </w:r>
    </w:p>
    <w:p w14:paraId="4EB3CF20" w14:textId="77777777" w:rsidR="00D01AA6" w:rsidRDefault="00000000">
      <w:pPr>
        <w:spacing w:line="600" w:lineRule="exact"/>
        <w:ind w:firstLine="640"/>
        <w:rPr>
          <w:rFonts w:ascii="仿宋" w:eastAsia="仿宋" w:hAnsi="仿宋"/>
          <w:b/>
          <w:color w:val="000000"/>
          <w:sz w:val="32"/>
          <w:szCs w:val="32"/>
        </w:rPr>
      </w:pPr>
      <w:r>
        <w:rPr>
          <w:rStyle w:val="ab"/>
          <w:rFonts w:ascii="仿宋" w:eastAsia="仿宋" w:hAnsi="仿宋" w:hint="eastAsia"/>
          <w:b w:val="0"/>
          <w:bCs/>
          <w:color w:val="000000"/>
          <w:sz w:val="32"/>
          <w:szCs w:val="32"/>
        </w:rPr>
        <w:t>20.住房保障支出（2210201）:指职工住房公积金收支。</w:t>
      </w:r>
    </w:p>
    <w:p w14:paraId="631DD8FD" w14:textId="77777777" w:rsidR="00D01AA6"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1</w:t>
      </w:r>
      <w:r>
        <w:rPr>
          <w:rFonts w:ascii="仿宋_GB2312" w:eastAsia="仿宋_GB2312"/>
          <w:color w:val="000000"/>
          <w:sz w:val="32"/>
          <w:szCs w:val="32"/>
        </w:rPr>
        <w:t>.</w:t>
      </w:r>
      <w:r>
        <w:rPr>
          <w:rFonts w:ascii="仿宋_GB2312" w:eastAsia="仿宋_GB2312" w:hint="eastAsia"/>
          <w:color w:val="000000"/>
          <w:sz w:val="32"/>
          <w:szCs w:val="32"/>
        </w:rPr>
        <w:t>基本支出：指为保障机构正常运转、完成日常工作任务而发生的人员支出和公用支出。</w:t>
      </w:r>
    </w:p>
    <w:p w14:paraId="0B1A3E00" w14:textId="77777777" w:rsidR="00D01AA6"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2</w:t>
      </w:r>
      <w:r>
        <w:rPr>
          <w:rFonts w:ascii="仿宋_GB2312" w:eastAsia="仿宋_GB2312"/>
          <w:color w:val="000000"/>
          <w:sz w:val="32"/>
          <w:szCs w:val="32"/>
        </w:rPr>
        <w:t>.</w:t>
      </w:r>
      <w:r>
        <w:rPr>
          <w:rFonts w:ascii="仿宋_GB2312" w:eastAsia="仿宋_GB2312" w:hint="eastAsia"/>
          <w:color w:val="000000"/>
          <w:sz w:val="32"/>
          <w:szCs w:val="32"/>
        </w:rPr>
        <w:t>项目支出：指在基本支出之外为完成特定行政任务和</w:t>
      </w:r>
      <w:r>
        <w:rPr>
          <w:rFonts w:ascii="仿宋_GB2312" w:eastAsia="仿宋_GB2312" w:hint="eastAsia"/>
          <w:color w:val="000000"/>
          <w:sz w:val="32"/>
          <w:szCs w:val="32"/>
        </w:rPr>
        <w:lastRenderedPageBreak/>
        <w:t>事业发展目标所发生的支出。</w:t>
      </w:r>
      <w:r>
        <w:rPr>
          <w:rFonts w:ascii="仿宋_GB2312" w:eastAsia="仿宋_GB2312"/>
          <w:color w:val="000000"/>
          <w:sz w:val="32"/>
          <w:szCs w:val="32"/>
        </w:rPr>
        <w:t xml:space="preserve"> </w:t>
      </w:r>
    </w:p>
    <w:p w14:paraId="08C9428C" w14:textId="77777777" w:rsidR="00D01AA6" w:rsidRDefault="00000000">
      <w:pPr>
        <w:ind w:firstLineChars="200" w:firstLine="640"/>
        <w:rPr>
          <w:rFonts w:ascii="仿宋_GB2312" w:eastAsia="仿宋_GB2312"/>
          <w:color w:val="000000"/>
          <w:sz w:val="32"/>
          <w:szCs w:val="32"/>
        </w:rPr>
      </w:pPr>
      <w:r>
        <w:rPr>
          <w:rFonts w:ascii="仿宋_GB2312" w:eastAsia="仿宋_GB2312"/>
          <w:color w:val="000000"/>
          <w:sz w:val="32"/>
          <w:szCs w:val="32"/>
        </w:rPr>
        <w:t>2</w:t>
      </w:r>
      <w:r>
        <w:rPr>
          <w:rFonts w:ascii="仿宋_GB2312" w:eastAsia="仿宋_GB2312" w:hint="eastAsia"/>
          <w:color w:val="000000"/>
          <w:sz w:val="32"/>
          <w:szCs w:val="32"/>
        </w:rPr>
        <w:t>3</w:t>
      </w:r>
      <w:r>
        <w:rPr>
          <w:rFonts w:ascii="仿宋_GB2312" w:eastAsia="仿宋_GB2312"/>
          <w:color w:val="000000"/>
          <w:sz w:val="32"/>
          <w:szCs w:val="32"/>
        </w:rPr>
        <w:t>.</w:t>
      </w:r>
      <w:r>
        <w:rPr>
          <w:rFonts w:ascii="仿宋_GB2312" w:eastAsia="仿宋_GB2312" w:hint="eastAsia"/>
          <w:color w:val="000000"/>
          <w:sz w:val="32"/>
          <w:szCs w:val="32"/>
        </w:rPr>
        <w:t>经营支出：指事业单位在专业业务活动及其辅助活动之外开展非独立核算经营活动发生的支出。</w:t>
      </w:r>
    </w:p>
    <w:p w14:paraId="2C0A9F58"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24</w:t>
      </w:r>
      <w:r>
        <w:rPr>
          <w:rFonts w:ascii="仿宋_GB2312" w:eastAsia="仿宋_GB2312"/>
          <w:sz w:val="32"/>
          <w:szCs w:val="32"/>
        </w:rPr>
        <w:t>.</w:t>
      </w:r>
      <w:r>
        <w:rPr>
          <w:rFonts w:ascii="仿宋_GB2312" w:eastAsia="仿宋_GB2312" w:hint="eastAsia"/>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14:paraId="2E8FCC6F" w14:textId="77777777" w:rsidR="00D01AA6" w:rsidRDefault="00000000">
      <w:pPr>
        <w:pStyle w:val="Default"/>
        <w:spacing w:line="560" w:lineRule="exact"/>
        <w:ind w:firstLineChars="200" w:firstLine="640"/>
        <w:rPr>
          <w:rFonts w:ascii="仿宋_GB2312" w:eastAsia="仿宋_GB2312"/>
          <w:sz w:val="32"/>
          <w:szCs w:val="32"/>
        </w:rPr>
      </w:pPr>
      <w:r>
        <w:rPr>
          <w:rFonts w:ascii="仿宋_GB2312" w:eastAsia="仿宋_GB2312" w:hint="eastAsia"/>
          <w:sz w:val="32"/>
          <w:szCs w:val="32"/>
        </w:rPr>
        <w:t>25</w:t>
      </w:r>
      <w:r>
        <w:rPr>
          <w:rFonts w:ascii="仿宋_GB2312" w:eastAsia="仿宋_GB2312"/>
          <w:sz w:val="32"/>
          <w:szCs w:val="32"/>
        </w:rPr>
        <w:t>.</w:t>
      </w:r>
      <w:r>
        <w:rPr>
          <w:rFonts w:ascii="仿宋_GB2312" w:eastAsia="仿宋_GB2312" w:hint="eastAsia"/>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DA29384" w14:textId="77777777" w:rsidR="00D01AA6" w:rsidRDefault="00000000">
      <w:pPr>
        <w:spacing w:line="600" w:lineRule="exact"/>
        <w:jc w:val="center"/>
        <w:outlineLvl w:val="0"/>
        <w:rPr>
          <w:rStyle w:val="10"/>
          <w:rFonts w:ascii="黑体" w:eastAsia="黑体" w:hAnsi="黑体"/>
          <w:b w:val="0"/>
        </w:rPr>
      </w:pPr>
      <w:bookmarkStart w:id="80" w:name="_Toc15377226"/>
      <w:r>
        <w:rPr>
          <w:rFonts w:ascii="宋体"/>
          <w:b/>
          <w:sz w:val="44"/>
          <w:szCs w:val="44"/>
        </w:rPr>
        <w:br w:type="page"/>
      </w:r>
      <w:bookmarkStart w:id="81" w:name="_Toc28904"/>
      <w:bookmarkStart w:id="82" w:name="_Toc15396614"/>
      <w:r>
        <w:rPr>
          <w:rFonts w:ascii="黑体" w:eastAsia="黑体" w:hAnsi="黑体" w:hint="eastAsia"/>
          <w:sz w:val="44"/>
          <w:szCs w:val="44"/>
        </w:rPr>
        <w:lastRenderedPageBreak/>
        <w:t>第</w:t>
      </w:r>
      <w:r>
        <w:rPr>
          <w:rStyle w:val="10"/>
          <w:rFonts w:ascii="黑体" w:eastAsia="黑体" w:hAnsi="黑体" w:hint="eastAsia"/>
          <w:b w:val="0"/>
        </w:rPr>
        <w:t>四部分 附件</w:t>
      </w:r>
      <w:bookmarkEnd w:id="81"/>
      <w:bookmarkEnd w:id="82"/>
    </w:p>
    <w:p w14:paraId="41021CF3" w14:textId="77777777" w:rsidR="00D01AA6" w:rsidRDefault="00D01AA6">
      <w:pPr>
        <w:spacing w:line="572" w:lineRule="exact"/>
        <w:jc w:val="left"/>
        <w:outlineLvl w:val="0"/>
        <w:rPr>
          <w:rFonts w:ascii="方正小标宋简体" w:eastAsia="方正小标宋简体" w:hAnsi="方正小标宋简体" w:cs="方正小标宋简体"/>
          <w:sz w:val="44"/>
          <w:szCs w:val="44"/>
        </w:rPr>
      </w:pPr>
    </w:p>
    <w:p w14:paraId="091D62A2" w14:textId="77777777" w:rsidR="00D01AA6" w:rsidRDefault="00000000">
      <w:pPr>
        <w:spacing w:line="572" w:lineRule="exact"/>
        <w:jc w:val="center"/>
        <w:rPr>
          <w:rFonts w:ascii="方正小标宋简体" w:eastAsia="方正小标宋简体" w:hAnsi="宋体"/>
          <w:kern w:val="0"/>
          <w:sz w:val="40"/>
          <w:szCs w:val="44"/>
          <w:lang w:val="zh-CN"/>
        </w:rPr>
      </w:pPr>
      <w:r>
        <w:rPr>
          <w:rFonts w:ascii="方正小标宋简体" w:eastAsia="方正小标宋简体" w:hAnsi="宋体" w:hint="eastAsia"/>
          <w:kern w:val="0"/>
          <w:sz w:val="40"/>
          <w:szCs w:val="44"/>
        </w:rPr>
        <w:t>2021年州文联部门整体绩效评价报告</w:t>
      </w:r>
    </w:p>
    <w:p w14:paraId="475D97D9" w14:textId="77777777" w:rsidR="00D01AA6" w:rsidRDefault="00D01AA6">
      <w:pPr>
        <w:widowControl/>
        <w:adjustRightInd w:val="0"/>
        <w:snapToGrid w:val="0"/>
        <w:spacing w:line="572" w:lineRule="exact"/>
        <w:ind w:firstLineChars="200" w:firstLine="480"/>
        <w:contextualSpacing/>
        <w:jc w:val="left"/>
        <w:rPr>
          <w:rFonts w:ascii="黑体" w:eastAsia="黑体" w:hAnsi="宋体" w:cs="宋体"/>
          <w:kern w:val="0"/>
          <w:sz w:val="24"/>
          <w:szCs w:val="32"/>
          <w:shd w:val="clear" w:color="auto" w:fill="FFFFFF"/>
        </w:rPr>
      </w:pPr>
    </w:p>
    <w:p w14:paraId="6C97461B" w14:textId="77777777" w:rsidR="00D01AA6" w:rsidRDefault="00000000">
      <w:pPr>
        <w:pStyle w:val="a3"/>
        <w:spacing w:before="93"/>
        <w:rPr>
          <w:rFonts w:ascii="楷体_GB2312" w:eastAsia="楷体_GB2312" w:hAnsi="楷体_GB2312" w:cs="楷体_GB2312"/>
          <w:sz w:val="32"/>
          <w:szCs w:val="32"/>
          <w:shd w:val="clear" w:color="auto" w:fill="FFFFFF"/>
          <w:lang w:val="zh-CN"/>
        </w:rPr>
      </w:pPr>
      <w:r>
        <w:rPr>
          <w:rFonts w:ascii="楷体_GB2312" w:eastAsia="楷体_GB2312" w:hAnsi="楷体_GB2312" w:cs="楷体_GB2312" w:hint="eastAsia"/>
          <w:sz w:val="32"/>
          <w:szCs w:val="32"/>
          <w:shd w:val="clear" w:color="auto" w:fill="FFFFFF"/>
          <w:lang w:val="zh-CN"/>
        </w:rPr>
        <w:t>一、部门（单位）概况</w:t>
      </w:r>
    </w:p>
    <w:p w14:paraId="026977B1"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（一）机构组成。</w:t>
      </w:r>
    </w:p>
    <w:p w14:paraId="23217AC6"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本单位设</w:t>
      </w:r>
      <w:r>
        <w:rPr>
          <w:rFonts w:hAnsi="宋体" w:cs="宋体" w:hint="eastAsia"/>
          <w:sz w:val="32"/>
          <w:szCs w:val="32"/>
          <w:shd w:val="clear" w:color="auto" w:fill="FFFFFF"/>
          <w:lang w:val="zh-CN"/>
        </w:rPr>
        <w:t>2</w:t>
      </w:r>
      <w:r>
        <w:rPr>
          <w:rFonts w:hAnsi="宋体" w:cs="宋体"/>
          <w:sz w:val="32"/>
          <w:szCs w:val="32"/>
          <w:shd w:val="clear" w:color="auto" w:fill="FFFFFF"/>
          <w:lang w:val="zh-CN"/>
        </w:rPr>
        <w:t>个内设机构，包括</w:t>
      </w:r>
      <w:r>
        <w:rPr>
          <w:rFonts w:hAnsi="宋体" w:cs="宋体" w:hint="eastAsia"/>
          <w:sz w:val="32"/>
          <w:szCs w:val="32"/>
          <w:shd w:val="clear" w:color="auto" w:fill="FFFFFF"/>
          <w:lang w:val="zh-CN"/>
        </w:rPr>
        <w:t>办公室、创作联络部</w:t>
      </w:r>
      <w:r>
        <w:rPr>
          <w:rFonts w:hAnsi="宋体" w:cs="宋体"/>
          <w:sz w:val="32"/>
          <w:szCs w:val="32"/>
          <w:shd w:val="clear" w:color="auto" w:fill="FFFFFF"/>
          <w:lang w:val="zh-CN"/>
        </w:rPr>
        <w:t>。</w:t>
      </w:r>
    </w:p>
    <w:p w14:paraId="566FBD9F"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（二）机构职能。</w:t>
      </w:r>
    </w:p>
    <w:p w14:paraId="17CA5661"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凉山州文学艺术界联合会是州委和州政府联系全州文艺界和广大文艺工作者的桥梁和纽带,是全州性文学艺术家协会和各县、市及大型企业(行业)文学艺术界的联合组织，系群众团体组织。其主要机构职能是:</w:t>
      </w:r>
    </w:p>
    <w:p w14:paraId="48608401"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1.贯彻执行党的文艺方针、政策，负责对州级各文艺团体和各县市文联工作的指导、联络、协调、服务工作，听取和反映文艺界的情况和意见。</w:t>
      </w:r>
    </w:p>
    <w:p w14:paraId="39B5001E"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2.组织召开凉山州文联代表大会、委员会和主席团会议以及全州性文艺家协会代表大会；组织召开全州文联系统的工作和学术研讨等会议。</w:t>
      </w:r>
    </w:p>
    <w:p w14:paraId="6FD24BFF"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3.制订并组织实施重大的文艺活动和创作规划；组织广大文艺工作者深入社会生活，加强艺术实践；培养优秀人才，创作文艺精品。</w:t>
      </w:r>
    </w:p>
    <w:p w14:paraId="71BA7251"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lastRenderedPageBreak/>
        <w:t xml:space="preserve">    </w:t>
      </w:r>
      <w:r>
        <w:rPr>
          <w:rFonts w:hAnsi="宋体" w:cs="宋体" w:hint="eastAsia"/>
          <w:sz w:val="32"/>
          <w:szCs w:val="32"/>
          <w:shd w:val="clear" w:color="auto" w:fill="FFFFFF"/>
          <w:lang w:val="zh-CN"/>
        </w:rPr>
        <w:t>4.抓好文艺理论研究工作；办好文艺刊物、报纸；组织实施各类文艺评奖活动，对全州各种优秀文艺成果给予奖励和表彰。</w:t>
      </w:r>
    </w:p>
    <w:p w14:paraId="18C070DC"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5.会同各团体会员，扩大和加强同各地、市、州文学艺术团体和文艺界人土的联系；积极开展文化艺术交流。</w:t>
      </w:r>
    </w:p>
    <w:p w14:paraId="29B65CE6"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6.开展维护文学艺术家和文艺团体知识产权等正当权益的工作。</w:t>
      </w:r>
    </w:p>
    <w:p w14:paraId="5416A724"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7.负责对团体会员的服务工作；帮助各团体会员改善文艺家的工作条件。</w:t>
      </w:r>
    </w:p>
    <w:p w14:paraId="0416E3C7"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hint="eastAsia"/>
          <w:sz w:val="32"/>
          <w:szCs w:val="32"/>
          <w:shd w:val="clear" w:color="auto" w:fill="FFFFFF"/>
          <w:lang w:val="zh-CN"/>
        </w:rPr>
        <w:t>8.承担州委、州政府交办的有关事项。</w:t>
      </w:r>
    </w:p>
    <w:p w14:paraId="7D2CF8A5"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（三）人员概况。</w:t>
      </w:r>
    </w:p>
    <w:p w14:paraId="414BCA5A"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202</w:t>
      </w:r>
      <w:r>
        <w:rPr>
          <w:rFonts w:hAnsi="宋体" w:cs="宋体" w:hint="eastAsia"/>
          <w:sz w:val="32"/>
          <w:szCs w:val="32"/>
          <w:shd w:val="clear" w:color="auto" w:fill="FFFFFF"/>
          <w:lang w:val="zh-CN"/>
        </w:rPr>
        <w:t>1</w:t>
      </w:r>
      <w:r>
        <w:rPr>
          <w:rFonts w:hAnsi="宋体" w:cs="宋体"/>
          <w:sz w:val="32"/>
          <w:szCs w:val="32"/>
          <w:shd w:val="clear" w:color="auto" w:fill="FFFFFF"/>
          <w:lang w:val="zh-CN"/>
        </w:rPr>
        <w:t>年年末共有人员编制</w:t>
      </w:r>
      <w:r>
        <w:rPr>
          <w:rFonts w:hAnsi="宋体" w:cs="宋体" w:hint="eastAsia"/>
          <w:sz w:val="32"/>
          <w:szCs w:val="32"/>
          <w:shd w:val="clear" w:color="auto" w:fill="FFFFFF"/>
          <w:lang w:val="zh-CN"/>
        </w:rPr>
        <w:t>23</w:t>
      </w:r>
      <w:r>
        <w:rPr>
          <w:rFonts w:hAnsi="宋体" w:cs="宋体"/>
          <w:sz w:val="32"/>
          <w:szCs w:val="32"/>
          <w:shd w:val="clear" w:color="auto" w:fill="FFFFFF"/>
          <w:lang w:val="zh-CN"/>
        </w:rPr>
        <w:t>名，实有在职人数</w:t>
      </w:r>
      <w:r>
        <w:rPr>
          <w:rFonts w:hAnsi="宋体" w:cs="宋体" w:hint="eastAsia"/>
          <w:sz w:val="32"/>
          <w:szCs w:val="32"/>
          <w:shd w:val="clear" w:color="auto" w:fill="FFFFFF"/>
          <w:lang w:val="zh-CN"/>
        </w:rPr>
        <w:t>19</w:t>
      </w:r>
      <w:r>
        <w:rPr>
          <w:rFonts w:hAnsi="宋体" w:cs="宋体"/>
          <w:sz w:val="32"/>
          <w:szCs w:val="32"/>
          <w:shd w:val="clear" w:color="auto" w:fill="FFFFFF"/>
          <w:lang w:val="zh-CN"/>
        </w:rPr>
        <w:t>人。其中：行政编制</w:t>
      </w:r>
      <w:r>
        <w:rPr>
          <w:rFonts w:hAnsi="宋体" w:cs="宋体" w:hint="eastAsia"/>
          <w:sz w:val="32"/>
          <w:szCs w:val="32"/>
          <w:shd w:val="clear" w:color="auto" w:fill="FFFFFF"/>
          <w:lang w:val="zh-CN"/>
        </w:rPr>
        <w:t>6</w:t>
      </w:r>
      <w:r>
        <w:rPr>
          <w:rFonts w:hAnsi="宋体" w:cs="宋体"/>
          <w:sz w:val="32"/>
          <w:szCs w:val="32"/>
          <w:shd w:val="clear" w:color="auto" w:fill="FFFFFF"/>
          <w:lang w:val="zh-CN"/>
        </w:rPr>
        <w:t>名，较之上年减少</w:t>
      </w:r>
      <w:r>
        <w:rPr>
          <w:rFonts w:hAnsi="宋体" w:cs="宋体" w:hint="eastAsia"/>
          <w:sz w:val="32"/>
          <w:szCs w:val="32"/>
          <w:shd w:val="clear" w:color="auto" w:fill="FFFFFF"/>
          <w:lang w:val="zh-CN"/>
        </w:rPr>
        <w:t>1</w:t>
      </w:r>
      <w:r>
        <w:rPr>
          <w:rFonts w:hAnsi="宋体" w:cs="宋体"/>
          <w:sz w:val="32"/>
          <w:szCs w:val="32"/>
          <w:shd w:val="clear" w:color="auto" w:fill="FFFFFF"/>
          <w:lang w:val="zh-CN"/>
        </w:rPr>
        <w:t>人，变动原因：</w:t>
      </w:r>
      <w:r>
        <w:rPr>
          <w:rFonts w:hAnsi="宋体" w:cs="宋体" w:hint="eastAsia"/>
          <w:sz w:val="32"/>
          <w:szCs w:val="32"/>
          <w:shd w:val="clear" w:color="auto" w:fill="FFFFFF"/>
          <w:lang w:val="zh-CN"/>
        </w:rPr>
        <w:t>编办收回行政工勤编1个</w:t>
      </w:r>
      <w:r>
        <w:rPr>
          <w:rFonts w:hAnsi="宋体" w:cs="宋体"/>
          <w:sz w:val="32"/>
          <w:szCs w:val="32"/>
          <w:shd w:val="clear" w:color="auto" w:fill="FFFFFF"/>
          <w:lang w:val="zh-CN"/>
        </w:rPr>
        <w:t>。事业编制</w:t>
      </w:r>
      <w:r>
        <w:rPr>
          <w:rFonts w:hAnsi="宋体" w:cs="宋体" w:hint="eastAsia"/>
          <w:sz w:val="32"/>
          <w:szCs w:val="32"/>
          <w:shd w:val="clear" w:color="auto" w:fill="FFFFFF"/>
          <w:lang w:val="zh-CN"/>
        </w:rPr>
        <w:t>17</w:t>
      </w:r>
      <w:r>
        <w:rPr>
          <w:rFonts w:hAnsi="宋体" w:cs="宋体"/>
          <w:sz w:val="32"/>
          <w:szCs w:val="32"/>
          <w:shd w:val="clear" w:color="auto" w:fill="FFFFFF"/>
          <w:lang w:val="zh-CN"/>
        </w:rPr>
        <w:t>名，较之</w:t>
      </w:r>
      <w:r>
        <w:rPr>
          <w:rFonts w:hAnsi="宋体" w:cs="宋体" w:hint="eastAsia"/>
          <w:sz w:val="32"/>
          <w:szCs w:val="32"/>
          <w:shd w:val="clear" w:color="auto" w:fill="FFFFFF"/>
          <w:lang w:val="zh-CN"/>
        </w:rPr>
        <w:t>2020</w:t>
      </w:r>
      <w:r>
        <w:rPr>
          <w:rFonts w:hAnsi="宋体" w:cs="宋体"/>
          <w:sz w:val="32"/>
          <w:szCs w:val="32"/>
          <w:shd w:val="clear" w:color="auto" w:fill="FFFFFF"/>
          <w:lang w:val="zh-CN"/>
        </w:rPr>
        <w:t>年无变化。</w:t>
      </w:r>
    </w:p>
    <w:p w14:paraId="139EB4A4" w14:textId="77777777" w:rsidR="00D01AA6" w:rsidRDefault="00000000">
      <w:pPr>
        <w:pStyle w:val="a3"/>
        <w:spacing w:before="93"/>
        <w:rPr>
          <w:rFonts w:ascii="楷体_GB2312" w:eastAsia="楷体_GB2312" w:hAnsi="楷体_GB2312" w:cs="楷体_GB2312"/>
          <w:sz w:val="32"/>
          <w:szCs w:val="32"/>
          <w:shd w:val="clear" w:color="auto" w:fill="FFFFFF"/>
          <w:lang w:val="zh-CN"/>
        </w:rPr>
      </w:pPr>
      <w:r>
        <w:rPr>
          <w:rFonts w:ascii="楷体_GB2312" w:eastAsia="楷体_GB2312" w:hAnsi="楷体_GB2312" w:cs="楷体_GB2312" w:hint="eastAsia"/>
          <w:sz w:val="32"/>
          <w:szCs w:val="32"/>
          <w:shd w:val="clear" w:color="auto" w:fill="FFFFFF"/>
          <w:lang w:val="zh-CN"/>
        </w:rPr>
        <w:t>二、部门财政资金收支情况</w:t>
      </w:r>
    </w:p>
    <w:p w14:paraId="4A84B82A"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（一）部门财政资金收入情况。</w:t>
      </w:r>
    </w:p>
    <w:p w14:paraId="609A1320"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本单位2021年收入预算安排总额为</w:t>
      </w:r>
      <w:r>
        <w:rPr>
          <w:rFonts w:hAnsi="宋体" w:cs="宋体" w:hint="eastAsia"/>
          <w:sz w:val="32"/>
          <w:szCs w:val="32"/>
          <w:shd w:val="clear" w:color="auto" w:fill="FFFFFF"/>
          <w:lang w:val="zh-CN"/>
        </w:rPr>
        <w:t>570.57</w:t>
      </w:r>
      <w:r>
        <w:rPr>
          <w:rFonts w:hAnsi="宋体" w:cs="宋体"/>
          <w:sz w:val="32"/>
          <w:szCs w:val="32"/>
          <w:shd w:val="clear" w:color="auto" w:fill="FFFFFF"/>
          <w:lang w:val="zh-CN"/>
        </w:rPr>
        <w:t>万元，包括一般公共预算财政拨款收入</w:t>
      </w:r>
      <w:r>
        <w:rPr>
          <w:rFonts w:hAnsi="宋体" w:cs="宋体" w:hint="eastAsia"/>
          <w:sz w:val="32"/>
          <w:szCs w:val="32"/>
          <w:shd w:val="clear" w:color="auto" w:fill="FFFFFF"/>
          <w:lang w:val="zh-CN"/>
        </w:rPr>
        <w:t>570.57</w:t>
      </w:r>
      <w:r>
        <w:rPr>
          <w:rFonts w:hAnsi="宋体" w:cs="宋体"/>
          <w:sz w:val="32"/>
          <w:szCs w:val="32"/>
          <w:shd w:val="clear" w:color="auto" w:fill="FFFFFF"/>
          <w:lang w:val="zh-CN"/>
        </w:rPr>
        <w:t>万元，事业收入0万元。比上年增加</w:t>
      </w:r>
      <w:r>
        <w:rPr>
          <w:rFonts w:hAnsi="宋体" w:cs="宋体" w:hint="eastAsia"/>
          <w:sz w:val="32"/>
          <w:szCs w:val="32"/>
          <w:shd w:val="clear" w:color="auto" w:fill="FFFFFF"/>
          <w:lang w:val="zh-CN"/>
        </w:rPr>
        <w:t>55.2</w:t>
      </w:r>
      <w:r>
        <w:rPr>
          <w:rFonts w:hAnsi="宋体" w:cs="宋体"/>
          <w:sz w:val="32"/>
          <w:szCs w:val="32"/>
          <w:shd w:val="clear" w:color="auto" w:fill="FFFFFF"/>
          <w:lang w:val="zh-CN"/>
        </w:rPr>
        <w:t>万元，增加</w:t>
      </w:r>
      <w:r>
        <w:rPr>
          <w:rFonts w:hAnsi="宋体" w:cs="宋体" w:hint="eastAsia"/>
          <w:sz w:val="32"/>
          <w:szCs w:val="32"/>
          <w:shd w:val="clear" w:color="auto" w:fill="FFFFFF"/>
          <w:lang w:val="zh-CN"/>
        </w:rPr>
        <w:t>10.71</w:t>
      </w:r>
      <w:r>
        <w:rPr>
          <w:rFonts w:hAnsi="宋体" w:cs="宋体"/>
          <w:sz w:val="32"/>
          <w:szCs w:val="32"/>
          <w:shd w:val="clear" w:color="auto" w:fill="FFFFFF"/>
          <w:lang w:val="zh-CN"/>
        </w:rPr>
        <w:t>%；原因是</w:t>
      </w:r>
      <w:r>
        <w:rPr>
          <w:rFonts w:hAnsi="宋体" w:cs="宋体" w:hint="eastAsia"/>
          <w:sz w:val="32"/>
          <w:szCs w:val="32"/>
          <w:shd w:val="clear" w:color="auto" w:fill="FFFFFF"/>
          <w:lang w:val="zh-CN"/>
        </w:rPr>
        <w:t>人员经费增加</w:t>
      </w:r>
      <w:r>
        <w:rPr>
          <w:rFonts w:hAnsi="宋体" w:cs="宋体"/>
          <w:sz w:val="32"/>
          <w:szCs w:val="32"/>
          <w:shd w:val="clear" w:color="auto" w:fill="FFFFFF"/>
          <w:lang w:val="zh-CN"/>
        </w:rPr>
        <w:t>。</w:t>
      </w:r>
    </w:p>
    <w:p w14:paraId="11DC93BC"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lastRenderedPageBreak/>
        <w:t xml:space="preserve">    </w:t>
      </w:r>
      <w:r>
        <w:rPr>
          <w:rFonts w:hAnsi="宋体" w:cs="宋体"/>
          <w:sz w:val="32"/>
          <w:szCs w:val="32"/>
          <w:shd w:val="clear" w:color="auto" w:fill="FFFFFF"/>
          <w:lang w:val="zh-CN"/>
        </w:rPr>
        <w:t>（二）部门财政资金支出情况。</w:t>
      </w:r>
    </w:p>
    <w:p w14:paraId="561C565B"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2021年支出执行总额为</w:t>
      </w:r>
      <w:r>
        <w:rPr>
          <w:rFonts w:hAnsi="宋体" w:cs="宋体" w:hint="eastAsia"/>
          <w:sz w:val="32"/>
          <w:szCs w:val="32"/>
          <w:shd w:val="clear" w:color="auto" w:fill="FFFFFF"/>
          <w:lang w:val="zh-CN"/>
        </w:rPr>
        <w:t>660.76</w:t>
      </w:r>
      <w:r>
        <w:rPr>
          <w:rFonts w:hAnsi="宋体" w:cs="宋体"/>
          <w:sz w:val="32"/>
          <w:szCs w:val="32"/>
          <w:shd w:val="clear" w:color="auto" w:fill="FFFFFF"/>
          <w:lang w:val="zh-CN"/>
        </w:rPr>
        <w:t>万元，其中一般公共预算财政拨款支出</w:t>
      </w:r>
      <w:r>
        <w:rPr>
          <w:rFonts w:hAnsi="宋体" w:cs="宋体" w:hint="eastAsia"/>
          <w:sz w:val="32"/>
          <w:szCs w:val="32"/>
          <w:shd w:val="clear" w:color="auto" w:fill="FFFFFF"/>
          <w:lang w:val="zh-CN"/>
        </w:rPr>
        <w:t>660.76</w:t>
      </w:r>
      <w:r>
        <w:rPr>
          <w:rFonts w:hAnsi="宋体" w:cs="宋体"/>
          <w:sz w:val="32"/>
          <w:szCs w:val="32"/>
          <w:shd w:val="clear" w:color="auto" w:fill="FFFFFF"/>
          <w:lang w:val="zh-CN"/>
        </w:rPr>
        <w:t>万元，比上年减少</w:t>
      </w:r>
      <w:r>
        <w:rPr>
          <w:rFonts w:hAnsi="宋体" w:cs="宋体" w:hint="eastAsia"/>
          <w:sz w:val="32"/>
          <w:szCs w:val="32"/>
          <w:shd w:val="clear" w:color="auto" w:fill="FFFFFF"/>
          <w:lang w:val="zh-CN"/>
        </w:rPr>
        <w:t>70.41万元，下降9.63</w:t>
      </w:r>
      <w:r>
        <w:rPr>
          <w:rFonts w:hAnsi="宋体" w:cs="宋体"/>
          <w:sz w:val="32"/>
          <w:szCs w:val="32"/>
          <w:shd w:val="clear" w:color="auto" w:fill="FFFFFF"/>
          <w:lang w:val="zh-CN"/>
        </w:rPr>
        <w:t>%</w:t>
      </w:r>
      <w:r>
        <w:rPr>
          <w:rFonts w:hAnsi="宋体" w:cs="宋体" w:hint="eastAsia"/>
          <w:sz w:val="32"/>
          <w:szCs w:val="32"/>
          <w:shd w:val="clear" w:color="auto" w:fill="FFFFFF"/>
          <w:lang w:val="zh-CN"/>
        </w:rPr>
        <w:t>。主要变动原因是2021年项目减少，人员经费调整，其他的基本支出都完全控制在预算总额以内</w:t>
      </w:r>
      <w:r>
        <w:rPr>
          <w:rFonts w:hAnsi="宋体" w:cs="宋体"/>
          <w:sz w:val="32"/>
          <w:szCs w:val="32"/>
          <w:shd w:val="clear" w:color="auto" w:fill="FFFFFF"/>
          <w:lang w:val="zh-CN"/>
        </w:rPr>
        <w:t>；事业支出0万元</w:t>
      </w:r>
      <w:r>
        <w:rPr>
          <w:rFonts w:hAnsi="宋体" w:cs="宋体" w:hint="eastAsia"/>
          <w:sz w:val="32"/>
          <w:szCs w:val="32"/>
          <w:shd w:val="clear" w:color="auto" w:fill="FFFFFF"/>
          <w:lang w:val="zh-CN"/>
        </w:rPr>
        <w:t>，与上年持平</w:t>
      </w:r>
      <w:r>
        <w:rPr>
          <w:rFonts w:hAnsi="宋体" w:cs="宋体"/>
          <w:sz w:val="32"/>
          <w:szCs w:val="32"/>
          <w:shd w:val="clear" w:color="auto" w:fill="FFFFFF"/>
          <w:lang w:val="zh-CN"/>
        </w:rPr>
        <w:t>。支出预算安排总额为</w:t>
      </w:r>
      <w:r>
        <w:rPr>
          <w:rFonts w:hAnsi="宋体" w:cs="宋体" w:hint="eastAsia"/>
          <w:sz w:val="32"/>
          <w:szCs w:val="32"/>
          <w:shd w:val="clear" w:color="auto" w:fill="FFFFFF"/>
          <w:lang w:val="zh-CN"/>
        </w:rPr>
        <w:t>570.57</w:t>
      </w:r>
      <w:r>
        <w:rPr>
          <w:rFonts w:hAnsi="宋体" w:cs="宋体"/>
          <w:sz w:val="32"/>
          <w:szCs w:val="32"/>
          <w:shd w:val="clear" w:color="auto" w:fill="FFFFFF"/>
          <w:lang w:val="zh-CN"/>
        </w:rPr>
        <w:t>万元。支出包括：</w:t>
      </w:r>
      <w:r>
        <w:rPr>
          <w:rFonts w:hAnsi="宋体" w:cs="宋体" w:hint="eastAsia"/>
          <w:sz w:val="32"/>
          <w:szCs w:val="32"/>
          <w:shd w:val="clear" w:color="auto" w:fill="FFFFFF"/>
          <w:lang w:val="zh-CN"/>
        </w:rPr>
        <w:t>基本</w:t>
      </w:r>
      <w:r>
        <w:rPr>
          <w:rFonts w:hAnsi="宋体" w:cs="宋体"/>
          <w:sz w:val="32"/>
          <w:szCs w:val="32"/>
          <w:shd w:val="clear" w:color="auto" w:fill="FFFFFF"/>
          <w:lang w:val="zh-CN"/>
        </w:rPr>
        <w:t>支出</w:t>
      </w:r>
      <w:r>
        <w:rPr>
          <w:rFonts w:hAnsi="宋体" w:cs="宋体" w:hint="eastAsia"/>
          <w:sz w:val="32"/>
          <w:szCs w:val="32"/>
          <w:shd w:val="clear" w:color="auto" w:fill="FFFFFF"/>
          <w:lang w:val="zh-CN"/>
        </w:rPr>
        <w:t>432.52</w:t>
      </w:r>
      <w:r>
        <w:rPr>
          <w:rFonts w:hAnsi="宋体" w:cs="宋体"/>
          <w:sz w:val="32"/>
          <w:szCs w:val="32"/>
          <w:shd w:val="clear" w:color="auto" w:fill="FFFFFF"/>
          <w:lang w:val="zh-CN"/>
        </w:rPr>
        <w:t>万元、</w:t>
      </w:r>
      <w:r>
        <w:rPr>
          <w:rFonts w:hAnsi="宋体" w:cs="宋体" w:hint="eastAsia"/>
          <w:sz w:val="32"/>
          <w:szCs w:val="32"/>
          <w:shd w:val="clear" w:color="auto" w:fill="FFFFFF"/>
          <w:lang w:val="zh-CN"/>
        </w:rPr>
        <w:t>项目</w:t>
      </w:r>
      <w:r>
        <w:rPr>
          <w:rFonts w:hAnsi="宋体" w:cs="宋体"/>
          <w:sz w:val="32"/>
          <w:szCs w:val="32"/>
          <w:shd w:val="clear" w:color="auto" w:fill="FFFFFF"/>
          <w:lang w:val="zh-CN"/>
        </w:rPr>
        <w:t>支出</w:t>
      </w:r>
      <w:r>
        <w:rPr>
          <w:rFonts w:hAnsi="宋体" w:cs="宋体" w:hint="eastAsia"/>
          <w:sz w:val="32"/>
          <w:szCs w:val="32"/>
          <w:shd w:val="clear" w:color="auto" w:fill="FFFFFF"/>
          <w:lang w:val="zh-CN"/>
        </w:rPr>
        <w:t>138.05</w:t>
      </w:r>
      <w:r>
        <w:rPr>
          <w:rFonts w:hAnsi="宋体" w:cs="宋体"/>
          <w:sz w:val="32"/>
          <w:szCs w:val="32"/>
          <w:shd w:val="clear" w:color="auto" w:fill="FFFFFF"/>
          <w:lang w:val="zh-CN"/>
        </w:rPr>
        <w:t>万元。</w:t>
      </w:r>
    </w:p>
    <w:p w14:paraId="1829D0B4"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2021年支出执行总额为</w:t>
      </w:r>
      <w:r>
        <w:rPr>
          <w:rFonts w:hAnsi="宋体" w:cs="宋体" w:hint="eastAsia"/>
          <w:sz w:val="32"/>
          <w:szCs w:val="32"/>
          <w:shd w:val="clear" w:color="auto" w:fill="FFFFFF"/>
          <w:lang w:val="zh-CN"/>
        </w:rPr>
        <w:t>660.76</w:t>
      </w:r>
      <w:r>
        <w:rPr>
          <w:rFonts w:hAnsi="宋体" w:cs="宋体"/>
          <w:sz w:val="32"/>
          <w:szCs w:val="32"/>
          <w:shd w:val="clear" w:color="auto" w:fill="FFFFFF"/>
          <w:lang w:val="zh-CN"/>
        </w:rPr>
        <w:t>万元，当年预算执行率</w:t>
      </w:r>
      <w:r>
        <w:rPr>
          <w:rFonts w:hAnsi="宋体" w:cs="宋体" w:hint="eastAsia"/>
          <w:sz w:val="32"/>
          <w:szCs w:val="32"/>
          <w:shd w:val="clear" w:color="auto" w:fill="FFFFFF"/>
          <w:lang w:val="zh-CN"/>
        </w:rPr>
        <w:t>100</w:t>
      </w:r>
      <w:r>
        <w:rPr>
          <w:rFonts w:hAnsi="宋体" w:cs="宋体"/>
          <w:sz w:val="32"/>
          <w:szCs w:val="32"/>
          <w:shd w:val="clear" w:color="auto" w:fill="FFFFFF"/>
          <w:lang w:val="zh-CN"/>
        </w:rPr>
        <w:t>%。另有财政应返还额度</w:t>
      </w:r>
      <w:r>
        <w:rPr>
          <w:rFonts w:hAnsi="宋体" w:cs="宋体" w:hint="eastAsia"/>
          <w:sz w:val="32"/>
          <w:szCs w:val="32"/>
          <w:shd w:val="clear" w:color="auto" w:fill="FFFFFF"/>
          <w:lang w:val="zh-CN"/>
        </w:rPr>
        <w:t>27.3</w:t>
      </w:r>
      <w:r>
        <w:rPr>
          <w:rFonts w:hAnsi="宋体" w:cs="宋体"/>
          <w:sz w:val="32"/>
          <w:szCs w:val="32"/>
          <w:shd w:val="clear" w:color="auto" w:fill="FFFFFF"/>
          <w:lang w:val="zh-CN"/>
        </w:rPr>
        <w:t>万元已经全部执行完毕，代管资金</w:t>
      </w:r>
      <w:r>
        <w:rPr>
          <w:rFonts w:hAnsi="宋体" w:cs="宋体" w:hint="eastAsia"/>
          <w:sz w:val="32"/>
          <w:szCs w:val="32"/>
          <w:shd w:val="clear" w:color="auto" w:fill="FFFFFF"/>
          <w:lang w:val="zh-CN"/>
        </w:rPr>
        <w:t>1.04万元未执行完</w:t>
      </w:r>
      <w:r>
        <w:rPr>
          <w:rFonts w:hAnsi="宋体" w:cs="宋体"/>
          <w:sz w:val="32"/>
          <w:szCs w:val="32"/>
          <w:shd w:val="clear" w:color="auto" w:fill="FFFFFF"/>
          <w:lang w:val="zh-CN"/>
        </w:rPr>
        <w:t>。</w:t>
      </w:r>
    </w:p>
    <w:p w14:paraId="17385598" w14:textId="77777777" w:rsidR="00D01AA6" w:rsidRDefault="00000000">
      <w:pPr>
        <w:pStyle w:val="a3"/>
        <w:spacing w:before="93"/>
        <w:rPr>
          <w:rFonts w:ascii="楷体_GB2312" w:eastAsia="楷体_GB2312" w:hAnsi="楷体_GB2312" w:cs="楷体_GB2312"/>
          <w:sz w:val="32"/>
          <w:szCs w:val="32"/>
          <w:shd w:val="clear" w:color="auto" w:fill="FFFFFF"/>
          <w:lang w:val="zh-CN"/>
        </w:rPr>
      </w:pPr>
      <w:r>
        <w:rPr>
          <w:rFonts w:ascii="楷体_GB2312" w:eastAsia="楷体_GB2312" w:hAnsi="楷体_GB2312" w:cs="楷体_GB2312" w:hint="eastAsia"/>
          <w:sz w:val="32"/>
          <w:szCs w:val="32"/>
          <w:shd w:val="clear" w:color="auto" w:fill="FFFFFF"/>
          <w:lang w:val="zh-CN"/>
        </w:rPr>
        <w:t>三、部门整体预算绩效管理情况</w:t>
      </w:r>
    </w:p>
    <w:p w14:paraId="673877A4"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（一）部门预算管理。</w:t>
      </w:r>
    </w:p>
    <w:p w14:paraId="7C52BD18"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本部门年度工作任务主要为</w:t>
      </w:r>
      <w:r>
        <w:rPr>
          <w:rFonts w:hAnsi="宋体" w:cs="宋体" w:hint="eastAsia"/>
          <w:sz w:val="32"/>
          <w:szCs w:val="32"/>
          <w:shd w:val="clear" w:color="auto" w:fill="FFFFFF"/>
          <w:lang w:val="zh-CN"/>
        </w:rPr>
        <w:t>：</w:t>
      </w:r>
    </w:p>
    <w:p w14:paraId="0D2D3EDA"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1.</w:t>
      </w:r>
      <w:r>
        <w:rPr>
          <w:rFonts w:hAnsi="宋体" w:cs="宋体"/>
          <w:sz w:val="32"/>
          <w:szCs w:val="32"/>
          <w:shd w:val="clear" w:color="auto" w:fill="FFFFFF"/>
          <w:lang w:val="zh-CN"/>
        </w:rPr>
        <w:t>收集整理民间文学，</w:t>
      </w:r>
      <w:r>
        <w:rPr>
          <w:rFonts w:hAnsi="宋体" w:cs="宋体" w:hint="eastAsia"/>
          <w:sz w:val="32"/>
          <w:szCs w:val="32"/>
          <w:shd w:val="clear" w:color="auto" w:fill="FFFFFF"/>
          <w:lang w:val="zh-CN"/>
        </w:rPr>
        <w:t>完成指标数。</w:t>
      </w:r>
    </w:p>
    <w:p w14:paraId="1BD0F1DC" w14:textId="77777777" w:rsidR="00D01AA6" w:rsidRDefault="00000000">
      <w:pPr>
        <w:pStyle w:val="a3"/>
        <w:spacing w:before="93"/>
        <w:rPr>
          <w:rFonts w:hAnsi="宋体" w:cs="宋体"/>
          <w:sz w:val="32"/>
          <w:szCs w:val="32"/>
          <w:shd w:val="clear" w:color="auto" w:fill="FFFFFF"/>
          <w:lang w:val="zh-CN"/>
        </w:rPr>
      </w:pPr>
      <w:r>
        <w:rPr>
          <w:rFonts w:hAnsi="宋体" w:cs="宋体"/>
          <w:sz w:val="32"/>
          <w:szCs w:val="32"/>
          <w:shd w:val="clear" w:color="auto" w:fill="FFFFFF"/>
          <w:lang w:val="zh-CN"/>
        </w:rPr>
        <w:t>《凉山文学》汉文、彝文版发行</w:t>
      </w:r>
      <w:r>
        <w:rPr>
          <w:rFonts w:hAnsi="宋体" w:cs="宋体" w:hint="eastAsia"/>
          <w:sz w:val="32"/>
          <w:szCs w:val="32"/>
          <w:shd w:val="clear" w:color="auto" w:fill="FFFFFF"/>
          <w:lang w:val="zh-CN"/>
        </w:rPr>
        <w:t>，其中汉文版字数和发行册数未完成，因为2021年订阅指标减少。</w:t>
      </w:r>
    </w:p>
    <w:p w14:paraId="39DB5565"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2.</w:t>
      </w:r>
      <w:r>
        <w:rPr>
          <w:rFonts w:hAnsi="宋体" w:cs="宋体"/>
          <w:sz w:val="32"/>
          <w:szCs w:val="32"/>
          <w:shd w:val="clear" w:color="auto" w:fill="FFFFFF"/>
          <w:lang w:val="zh-CN"/>
        </w:rPr>
        <w:t>新媒体推广工作，</w:t>
      </w:r>
      <w:r>
        <w:rPr>
          <w:rFonts w:hAnsi="宋体" w:cs="宋体" w:hint="eastAsia"/>
          <w:sz w:val="32"/>
          <w:szCs w:val="32"/>
          <w:shd w:val="clear" w:color="auto" w:fill="FFFFFF"/>
          <w:lang w:val="zh-CN"/>
        </w:rPr>
        <w:t>其中关注度未完成，因为2021年全年抓脱贫攻坚工作，新媒体宣传推广力度减弱。</w:t>
      </w:r>
    </w:p>
    <w:p w14:paraId="2E67E0AE"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lang w:val="zh-CN"/>
        </w:rPr>
        <w:t xml:space="preserve">    </w:t>
      </w:r>
      <w:r>
        <w:rPr>
          <w:rFonts w:hAnsi="宋体" w:cs="宋体" w:hint="eastAsia"/>
          <w:sz w:val="32"/>
          <w:szCs w:val="32"/>
          <w:shd w:val="clear" w:color="auto" w:fill="FFFFFF"/>
        </w:rPr>
        <w:t>3.</w:t>
      </w:r>
      <w:r>
        <w:rPr>
          <w:rFonts w:hAnsi="宋体" w:cs="宋体"/>
          <w:sz w:val="32"/>
          <w:szCs w:val="32"/>
          <w:shd w:val="clear" w:color="auto" w:fill="FFFFFF"/>
          <w:lang w:val="zh-CN"/>
        </w:rPr>
        <w:t>本部门年度总预算编制略有偏差，支出控制制度完善，预算动态调整合理有据，预算完成情况良好，资金执行率为</w:t>
      </w:r>
      <w:r>
        <w:rPr>
          <w:rFonts w:hAnsi="宋体" w:cs="宋体" w:hint="eastAsia"/>
          <w:sz w:val="32"/>
          <w:szCs w:val="32"/>
          <w:shd w:val="clear" w:color="auto" w:fill="FFFFFF"/>
          <w:lang w:val="zh-CN"/>
        </w:rPr>
        <w:t>100</w:t>
      </w:r>
      <w:r>
        <w:rPr>
          <w:rFonts w:hAnsi="宋体" w:cs="宋体"/>
          <w:sz w:val="32"/>
          <w:szCs w:val="32"/>
          <w:shd w:val="clear" w:color="auto" w:fill="FFFFFF"/>
          <w:lang w:val="zh-CN"/>
        </w:rPr>
        <w:t>%，无违规记录。</w:t>
      </w:r>
    </w:p>
    <w:p w14:paraId="622336A5"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lastRenderedPageBreak/>
        <w:t xml:space="preserve">    </w:t>
      </w:r>
      <w:r>
        <w:rPr>
          <w:rFonts w:hAnsi="宋体" w:cs="宋体"/>
          <w:sz w:val="32"/>
          <w:szCs w:val="32"/>
          <w:shd w:val="clear" w:color="auto" w:fill="FFFFFF"/>
          <w:lang w:val="zh-CN"/>
        </w:rPr>
        <w:t>（二）结果应用情况。</w:t>
      </w:r>
    </w:p>
    <w:p w14:paraId="7BF4440F"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按规定公开单位预算、决算及绩效等相关信息。其中：20</w:t>
      </w:r>
      <w:r>
        <w:rPr>
          <w:rFonts w:hAnsi="宋体" w:cs="宋体" w:hint="eastAsia"/>
          <w:sz w:val="32"/>
          <w:szCs w:val="32"/>
          <w:shd w:val="clear" w:color="auto" w:fill="FFFFFF"/>
          <w:lang w:val="zh-CN"/>
        </w:rPr>
        <w:t>21</w:t>
      </w:r>
      <w:r>
        <w:rPr>
          <w:rFonts w:hAnsi="宋体" w:cs="宋体"/>
          <w:sz w:val="32"/>
          <w:szCs w:val="32"/>
          <w:shd w:val="clear" w:color="auto" w:fill="FFFFFF"/>
          <w:lang w:val="zh-CN"/>
        </w:rPr>
        <w:t>年</w:t>
      </w:r>
      <w:r>
        <w:rPr>
          <w:rFonts w:hAnsi="宋体" w:cs="宋体" w:hint="eastAsia"/>
          <w:sz w:val="32"/>
          <w:szCs w:val="32"/>
          <w:shd w:val="clear" w:color="auto" w:fill="FFFFFF"/>
          <w:lang w:val="zh-CN"/>
        </w:rPr>
        <w:t>4</w:t>
      </w:r>
      <w:r>
        <w:rPr>
          <w:rFonts w:hAnsi="宋体" w:cs="宋体"/>
          <w:sz w:val="32"/>
          <w:szCs w:val="32"/>
          <w:shd w:val="clear" w:color="auto" w:fill="FFFFFF"/>
          <w:lang w:val="zh-CN"/>
        </w:rPr>
        <w:t>月</w:t>
      </w:r>
      <w:r>
        <w:rPr>
          <w:rFonts w:hAnsi="宋体" w:cs="宋体" w:hint="eastAsia"/>
          <w:sz w:val="32"/>
          <w:szCs w:val="32"/>
          <w:shd w:val="clear" w:color="auto" w:fill="FFFFFF"/>
          <w:lang w:val="zh-CN"/>
        </w:rPr>
        <w:t>7</w:t>
      </w:r>
      <w:r>
        <w:rPr>
          <w:rFonts w:hAnsi="宋体" w:cs="宋体"/>
          <w:sz w:val="32"/>
          <w:szCs w:val="32"/>
          <w:shd w:val="clear" w:color="auto" w:fill="FFFFFF"/>
          <w:lang w:val="zh-CN"/>
        </w:rPr>
        <w:t>日在</w:t>
      </w:r>
      <w:r>
        <w:rPr>
          <w:rFonts w:hAnsi="宋体" w:cs="宋体" w:hint="eastAsia"/>
          <w:sz w:val="32"/>
          <w:szCs w:val="32"/>
          <w:shd w:val="clear" w:color="auto" w:fill="FFFFFF"/>
          <w:lang w:val="zh-CN"/>
        </w:rPr>
        <w:t>凉山州</w:t>
      </w:r>
      <w:r>
        <w:rPr>
          <w:rFonts w:hAnsi="宋体" w:cs="宋体"/>
          <w:sz w:val="32"/>
          <w:szCs w:val="32"/>
          <w:shd w:val="clear" w:color="auto" w:fill="FFFFFF"/>
          <w:lang w:val="zh-CN"/>
        </w:rPr>
        <w:t>人民政府网站公开20</w:t>
      </w:r>
      <w:r>
        <w:rPr>
          <w:rFonts w:hAnsi="宋体" w:cs="宋体" w:hint="eastAsia"/>
          <w:sz w:val="32"/>
          <w:szCs w:val="32"/>
          <w:shd w:val="clear" w:color="auto" w:fill="FFFFFF"/>
          <w:lang w:val="zh-CN"/>
        </w:rPr>
        <w:t>21</w:t>
      </w:r>
      <w:r>
        <w:rPr>
          <w:rFonts w:hAnsi="宋体" w:cs="宋体"/>
          <w:sz w:val="32"/>
          <w:szCs w:val="32"/>
          <w:shd w:val="clear" w:color="auto" w:fill="FFFFFF"/>
          <w:lang w:val="zh-CN"/>
        </w:rPr>
        <w:t>年部门预算信息，含部门收支总表、财政拨款收支总表、财政拨款</w:t>
      </w:r>
      <w:r>
        <w:rPr>
          <w:rFonts w:hAnsi="宋体" w:cs="宋体"/>
          <w:sz w:val="32"/>
          <w:szCs w:val="32"/>
          <w:shd w:val="clear" w:color="auto" w:fill="FFFFFF"/>
          <w:lang w:val="zh-CN"/>
        </w:rPr>
        <w:t>“</w:t>
      </w:r>
      <w:r>
        <w:rPr>
          <w:rFonts w:hAnsi="宋体" w:cs="宋体"/>
          <w:sz w:val="32"/>
          <w:szCs w:val="32"/>
          <w:shd w:val="clear" w:color="auto" w:fill="FFFFFF"/>
          <w:lang w:val="zh-CN"/>
        </w:rPr>
        <w:t>三公</w:t>
      </w:r>
      <w:r>
        <w:rPr>
          <w:rFonts w:hAnsi="宋体" w:cs="宋体"/>
          <w:sz w:val="32"/>
          <w:szCs w:val="32"/>
          <w:shd w:val="clear" w:color="auto" w:fill="FFFFFF"/>
          <w:lang w:val="zh-CN"/>
        </w:rPr>
        <w:t>”</w:t>
      </w:r>
      <w:r>
        <w:rPr>
          <w:rFonts w:hAnsi="宋体" w:cs="宋体"/>
          <w:sz w:val="32"/>
          <w:szCs w:val="32"/>
          <w:shd w:val="clear" w:color="auto" w:fill="FFFFFF"/>
          <w:lang w:val="zh-CN"/>
        </w:rPr>
        <w:t>经费表、部门项目绩效指标表等。同时相关预决算信息、绩效目标及绩效自评报告等已在单位官方网站公开。</w:t>
      </w:r>
    </w:p>
    <w:p w14:paraId="64E3F7C5" w14:textId="77777777" w:rsidR="00D01AA6" w:rsidRDefault="00000000">
      <w:pPr>
        <w:pStyle w:val="a3"/>
        <w:spacing w:before="93"/>
        <w:rPr>
          <w:rFonts w:hAnsi="宋体" w:cs="宋体"/>
          <w:sz w:val="32"/>
          <w:szCs w:val="32"/>
          <w:shd w:val="clear" w:color="auto" w:fill="FFFFFF"/>
          <w:lang w:val="zh-CN"/>
        </w:rPr>
      </w:pPr>
      <w:r>
        <w:rPr>
          <w:rFonts w:hAnsi="宋体" w:cs="宋体"/>
          <w:sz w:val="32"/>
          <w:szCs w:val="32"/>
          <w:shd w:val="clear" w:color="auto" w:fill="FFFFFF"/>
          <w:lang w:val="zh-CN"/>
        </w:rPr>
        <w:t>四、评价结论及建议</w:t>
      </w:r>
    </w:p>
    <w:p w14:paraId="18A53861"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（一）评价结论。</w:t>
      </w:r>
    </w:p>
    <w:p w14:paraId="1570A5BA"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经评价，支出总体平衡,基本保障了部门整体的正常运转和履行职能职责,实现了项目预期效果。评价为</w:t>
      </w:r>
      <w:r>
        <w:rPr>
          <w:rFonts w:hAnsi="宋体" w:cs="宋体"/>
          <w:sz w:val="32"/>
          <w:szCs w:val="32"/>
          <w:shd w:val="clear" w:color="auto" w:fill="FFFFFF"/>
          <w:lang w:val="zh-CN"/>
        </w:rPr>
        <w:t>“</w:t>
      </w:r>
      <w:r>
        <w:rPr>
          <w:rFonts w:hAnsi="宋体" w:cs="宋体"/>
          <w:sz w:val="32"/>
          <w:szCs w:val="32"/>
          <w:shd w:val="clear" w:color="auto" w:fill="FFFFFF"/>
          <w:lang w:val="zh-CN"/>
        </w:rPr>
        <w:t>优</w:t>
      </w:r>
      <w:r>
        <w:rPr>
          <w:rFonts w:hAnsi="宋体" w:cs="宋体"/>
          <w:sz w:val="32"/>
          <w:szCs w:val="32"/>
          <w:shd w:val="clear" w:color="auto" w:fill="FFFFFF"/>
          <w:lang w:val="zh-CN"/>
        </w:rPr>
        <w:t>”</w:t>
      </w:r>
      <w:r>
        <w:rPr>
          <w:rFonts w:hAnsi="宋体" w:cs="宋体"/>
          <w:sz w:val="32"/>
          <w:szCs w:val="32"/>
          <w:shd w:val="clear" w:color="auto" w:fill="FFFFFF"/>
          <w:lang w:val="zh-CN"/>
        </w:rPr>
        <w:t>。</w:t>
      </w:r>
    </w:p>
    <w:p w14:paraId="1D9284CC"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（二）存在问题。</w:t>
      </w:r>
    </w:p>
    <w:p w14:paraId="18FD50BE"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1.资金执行率为</w:t>
      </w:r>
      <w:r>
        <w:rPr>
          <w:rFonts w:hAnsi="宋体" w:cs="宋体" w:hint="eastAsia"/>
          <w:sz w:val="32"/>
          <w:szCs w:val="32"/>
          <w:shd w:val="clear" w:color="auto" w:fill="FFFFFF"/>
          <w:lang w:val="zh-CN"/>
        </w:rPr>
        <w:t>86</w:t>
      </w:r>
      <w:r>
        <w:rPr>
          <w:rFonts w:hAnsi="宋体" w:cs="宋体"/>
          <w:sz w:val="32"/>
          <w:szCs w:val="32"/>
          <w:shd w:val="clear" w:color="auto" w:fill="FFFFFF"/>
          <w:lang w:val="zh-CN"/>
        </w:rPr>
        <w:t>%，未全部执行，原因是</w:t>
      </w:r>
      <w:r>
        <w:rPr>
          <w:rFonts w:hAnsi="宋体" w:cs="宋体" w:hint="eastAsia"/>
          <w:sz w:val="32"/>
          <w:szCs w:val="32"/>
          <w:shd w:val="clear" w:color="auto" w:fill="FFFFFF"/>
          <w:lang w:val="zh-CN"/>
        </w:rPr>
        <w:t>有部分政府采购资金结转到2022年支付；有两个项目2021年未完成，缴回财政；2021年非税收入未完成指标，财政收回短收资金</w:t>
      </w:r>
      <w:r>
        <w:rPr>
          <w:rFonts w:hAnsi="宋体" w:cs="宋体"/>
          <w:sz w:val="32"/>
          <w:szCs w:val="32"/>
          <w:shd w:val="clear" w:color="auto" w:fill="FFFFFF"/>
          <w:lang w:val="zh-CN"/>
        </w:rPr>
        <w:t>。</w:t>
      </w:r>
    </w:p>
    <w:p w14:paraId="490F3934"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rPr>
        <w:t xml:space="preserve">    </w:t>
      </w:r>
      <w:r>
        <w:rPr>
          <w:rFonts w:hAnsi="宋体" w:cs="宋体"/>
          <w:sz w:val="32"/>
          <w:szCs w:val="32"/>
          <w:shd w:val="clear" w:color="auto" w:fill="FFFFFF"/>
          <w:lang w:val="zh-CN"/>
        </w:rPr>
        <w:t>2.整体绩效自评价表中</w:t>
      </w:r>
      <w:r>
        <w:rPr>
          <w:rFonts w:hAnsi="宋体" w:cs="宋体"/>
          <w:sz w:val="32"/>
          <w:szCs w:val="32"/>
          <w:shd w:val="clear" w:color="auto" w:fill="FFFFFF"/>
          <w:lang w:val="zh-CN"/>
        </w:rPr>
        <w:t>“</w:t>
      </w:r>
      <w:r>
        <w:rPr>
          <w:rFonts w:hAnsi="宋体" w:cs="宋体"/>
          <w:sz w:val="32"/>
          <w:szCs w:val="32"/>
          <w:shd w:val="clear" w:color="auto" w:fill="FFFFFF"/>
          <w:lang w:val="zh-CN"/>
        </w:rPr>
        <w:t>部门预算项目绩效管理</w:t>
      </w:r>
      <w:r>
        <w:rPr>
          <w:rFonts w:hAnsi="宋体" w:cs="宋体"/>
          <w:sz w:val="32"/>
          <w:szCs w:val="32"/>
          <w:shd w:val="clear" w:color="auto" w:fill="FFFFFF"/>
          <w:lang w:val="zh-CN"/>
        </w:rPr>
        <w:t>”</w:t>
      </w:r>
      <w:r>
        <w:rPr>
          <w:rFonts w:hAnsi="宋体" w:cs="宋体"/>
          <w:sz w:val="32"/>
          <w:szCs w:val="32"/>
          <w:shd w:val="clear" w:color="auto" w:fill="FFFFFF"/>
          <w:lang w:val="zh-CN"/>
        </w:rPr>
        <w:t>下</w:t>
      </w:r>
      <w:r>
        <w:rPr>
          <w:rFonts w:hAnsi="宋体" w:cs="宋体"/>
          <w:sz w:val="32"/>
          <w:szCs w:val="32"/>
          <w:shd w:val="clear" w:color="auto" w:fill="FFFFFF"/>
          <w:lang w:val="zh-CN"/>
        </w:rPr>
        <w:t>“</w:t>
      </w:r>
      <w:r>
        <w:rPr>
          <w:rFonts w:hAnsi="宋体" w:cs="宋体"/>
          <w:sz w:val="32"/>
          <w:szCs w:val="32"/>
          <w:shd w:val="clear" w:color="auto" w:fill="FFFFFF"/>
          <w:lang w:val="zh-CN"/>
        </w:rPr>
        <w:t>动态调整</w:t>
      </w:r>
      <w:r>
        <w:rPr>
          <w:rFonts w:hAnsi="宋体" w:cs="宋体"/>
          <w:sz w:val="32"/>
          <w:szCs w:val="32"/>
          <w:shd w:val="clear" w:color="auto" w:fill="FFFFFF"/>
          <w:lang w:val="zh-CN"/>
        </w:rPr>
        <w:t>”</w:t>
      </w:r>
      <w:r>
        <w:rPr>
          <w:rFonts w:hAnsi="宋体" w:cs="宋体"/>
          <w:sz w:val="32"/>
          <w:szCs w:val="32"/>
          <w:shd w:val="clear" w:color="auto" w:fill="FFFFFF"/>
          <w:lang w:val="zh-CN"/>
        </w:rPr>
        <w:t>的三级指标</w:t>
      </w:r>
      <w:r>
        <w:rPr>
          <w:rFonts w:hAnsi="宋体" w:cs="宋体"/>
          <w:sz w:val="32"/>
          <w:szCs w:val="32"/>
          <w:shd w:val="clear" w:color="auto" w:fill="FFFFFF"/>
          <w:lang w:val="zh-CN"/>
        </w:rPr>
        <w:t>“</w:t>
      </w:r>
      <w:r>
        <w:rPr>
          <w:rFonts w:hAnsi="宋体" w:cs="宋体"/>
          <w:sz w:val="32"/>
          <w:szCs w:val="32"/>
          <w:shd w:val="clear" w:color="auto" w:fill="FFFFFF"/>
          <w:lang w:val="zh-CN"/>
        </w:rPr>
        <w:t>执行进度</w:t>
      </w:r>
      <w:r>
        <w:rPr>
          <w:rFonts w:hAnsi="宋体" w:cs="宋体"/>
          <w:sz w:val="32"/>
          <w:szCs w:val="32"/>
          <w:shd w:val="clear" w:color="auto" w:fill="FFFFFF"/>
          <w:lang w:val="zh-CN"/>
        </w:rPr>
        <w:t>”</w:t>
      </w:r>
      <w:r>
        <w:rPr>
          <w:rFonts w:hAnsi="宋体" w:cs="宋体"/>
          <w:sz w:val="32"/>
          <w:szCs w:val="32"/>
          <w:shd w:val="clear" w:color="auto" w:fill="FFFFFF"/>
          <w:lang w:val="zh-CN"/>
        </w:rPr>
        <w:t>分值4分，指标实际得分2分，扣分原因为</w:t>
      </w:r>
      <w:r>
        <w:rPr>
          <w:rFonts w:hAnsi="宋体" w:cs="宋体"/>
          <w:sz w:val="32"/>
          <w:szCs w:val="32"/>
          <w:shd w:val="clear" w:color="auto" w:fill="FFFFFF"/>
          <w:lang w:val="zh-CN"/>
        </w:rPr>
        <w:t>“</w:t>
      </w:r>
      <w:r>
        <w:rPr>
          <w:rFonts w:hAnsi="宋体" w:cs="宋体"/>
          <w:sz w:val="32"/>
          <w:szCs w:val="32"/>
          <w:shd w:val="clear" w:color="auto" w:fill="FFFFFF"/>
          <w:lang w:val="zh-CN"/>
        </w:rPr>
        <w:t>有项目资金年底拨付，支出进度未达标准</w:t>
      </w:r>
      <w:r>
        <w:rPr>
          <w:rFonts w:hAnsi="宋体" w:cs="宋体"/>
          <w:sz w:val="32"/>
          <w:szCs w:val="32"/>
          <w:shd w:val="clear" w:color="auto" w:fill="FFFFFF"/>
          <w:lang w:val="zh-CN"/>
        </w:rPr>
        <w:t>”</w:t>
      </w:r>
      <w:r>
        <w:rPr>
          <w:rFonts w:hAnsi="宋体" w:cs="宋体"/>
          <w:sz w:val="32"/>
          <w:szCs w:val="32"/>
          <w:shd w:val="clear" w:color="auto" w:fill="FFFFFF"/>
          <w:lang w:val="zh-CN"/>
        </w:rPr>
        <w:t>；</w:t>
      </w:r>
      <w:r>
        <w:rPr>
          <w:rFonts w:hAnsi="宋体" w:cs="宋体"/>
          <w:sz w:val="32"/>
          <w:szCs w:val="32"/>
          <w:shd w:val="clear" w:color="auto" w:fill="FFFFFF"/>
          <w:lang w:val="zh-CN"/>
        </w:rPr>
        <w:t>“</w:t>
      </w:r>
      <w:r>
        <w:rPr>
          <w:rFonts w:hAnsi="宋体" w:cs="宋体"/>
          <w:sz w:val="32"/>
          <w:szCs w:val="32"/>
          <w:shd w:val="clear" w:color="auto" w:fill="FFFFFF"/>
          <w:lang w:val="zh-CN"/>
        </w:rPr>
        <w:t>部门预算项目绩效管理</w:t>
      </w:r>
      <w:r>
        <w:rPr>
          <w:rFonts w:hAnsi="宋体" w:cs="宋体"/>
          <w:sz w:val="32"/>
          <w:szCs w:val="32"/>
          <w:shd w:val="clear" w:color="auto" w:fill="FFFFFF"/>
          <w:lang w:val="zh-CN"/>
        </w:rPr>
        <w:t>”</w:t>
      </w:r>
      <w:r>
        <w:rPr>
          <w:rFonts w:hAnsi="宋体" w:cs="宋体"/>
          <w:sz w:val="32"/>
          <w:szCs w:val="32"/>
          <w:shd w:val="clear" w:color="auto" w:fill="FFFFFF"/>
          <w:lang w:val="zh-CN"/>
        </w:rPr>
        <w:t>下</w:t>
      </w:r>
      <w:r>
        <w:rPr>
          <w:rFonts w:hAnsi="宋体" w:cs="宋体"/>
          <w:sz w:val="32"/>
          <w:szCs w:val="32"/>
          <w:shd w:val="clear" w:color="auto" w:fill="FFFFFF"/>
          <w:lang w:val="zh-CN"/>
        </w:rPr>
        <w:t>“</w:t>
      </w:r>
      <w:r>
        <w:rPr>
          <w:rFonts w:hAnsi="宋体" w:cs="宋体"/>
          <w:sz w:val="32"/>
          <w:szCs w:val="32"/>
          <w:shd w:val="clear" w:color="auto" w:fill="FFFFFF"/>
          <w:lang w:val="zh-CN"/>
        </w:rPr>
        <w:t>完成效率</w:t>
      </w:r>
      <w:r>
        <w:rPr>
          <w:rFonts w:hAnsi="宋体" w:cs="宋体"/>
          <w:sz w:val="32"/>
          <w:szCs w:val="32"/>
          <w:shd w:val="clear" w:color="auto" w:fill="FFFFFF"/>
          <w:lang w:val="zh-CN"/>
        </w:rPr>
        <w:t>”</w:t>
      </w:r>
      <w:r>
        <w:rPr>
          <w:rFonts w:hAnsi="宋体" w:cs="宋体"/>
          <w:sz w:val="32"/>
          <w:szCs w:val="32"/>
          <w:shd w:val="clear" w:color="auto" w:fill="FFFFFF"/>
          <w:lang w:val="zh-CN"/>
        </w:rPr>
        <w:t>的三级指标</w:t>
      </w:r>
      <w:r>
        <w:rPr>
          <w:rFonts w:hAnsi="宋体" w:cs="宋体"/>
          <w:sz w:val="32"/>
          <w:szCs w:val="32"/>
          <w:shd w:val="clear" w:color="auto" w:fill="FFFFFF"/>
          <w:lang w:val="zh-CN"/>
        </w:rPr>
        <w:t>“</w:t>
      </w:r>
      <w:r>
        <w:rPr>
          <w:rFonts w:hAnsi="宋体" w:cs="宋体"/>
          <w:sz w:val="32"/>
          <w:szCs w:val="32"/>
          <w:shd w:val="clear" w:color="auto" w:fill="FFFFFF"/>
          <w:lang w:val="zh-CN"/>
        </w:rPr>
        <w:t>预算完成</w:t>
      </w:r>
      <w:r>
        <w:rPr>
          <w:rFonts w:hAnsi="宋体" w:cs="宋体"/>
          <w:sz w:val="32"/>
          <w:szCs w:val="32"/>
          <w:shd w:val="clear" w:color="auto" w:fill="FFFFFF"/>
          <w:lang w:val="zh-CN"/>
        </w:rPr>
        <w:t>”</w:t>
      </w:r>
      <w:r>
        <w:rPr>
          <w:rFonts w:hAnsi="宋体" w:cs="宋体"/>
          <w:sz w:val="32"/>
          <w:szCs w:val="32"/>
          <w:shd w:val="clear" w:color="auto" w:fill="FFFFFF"/>
          <w:lang w:val="zh-CN"/>
        </w:rPr>
        <w:t>分值5分，指标实际得分2分，扣分原因为</w:t>
      </w:r>
      <w:r>
        <w:rPr>
          <w:rFonts w:hAnsi="宋体" w:cs="宋体"/>
          <w:sz w:val="32"/>
          <w:szCs w:val="32"/>
          <w:shd w:val="clear" w:color="auto" w:fill="FFFFFF"/>
          <w:lang w:val="zh-CN"/>
        </w:rPr>
        <w:t>“</w:t>
      </w:r>
      <w:r>
        <w:rPr>
          <w:rFonts w:hAnsi="宋体" w:cs="宋体"/>
          <w:sz w:val="32"/>
          <w:szCs w:val="32"/>
          <w:shd w:val="clear" w:color="auto" w:fill="FFFFFF"/>
          <w:lang w:val="zh-CN"/>
        </w:rPr>
        <w:t>有项目资金未使用完，在2022年进行支付</w:t>
      </w:r>
      <w:r>
        <w:rPr>
          <w:rFonts w:hAnsi="宋体" w:cs="宋体"/>
          <w:sz w:val="32"/>
          <w:szCs w:val="32"/>
          <w:shd w:val="clear" w:color="auto" w:fill="FFFFFF"/>
          <w:lang w:val="zh-CN"/>
        </w:rPr>
        <w:t>”</w:t>
      </w:r>
      <w:r>
        <w:rPr>
          <w:rFonts w:hAnsi="宋体" w:cs="宋体"/>
          <w:sz w:val="32"/>
          <w:szCs w:val="32"/>
          <w:shd w:val="clear" w:color="auto" w:fill="FFFFFF"/>
          <w:lang w:val="zh-CN"/>
        </w:rPr>
        <w:t>。</w:t>
      </w:r>
    </w:p>
    <w:p w14:paraId="681251DC" w14:textId="77777777" w:rsidR="00D01AA6" w:rsidRDefault="00000000">
      <w:pPr>
        <w:pStyle w:val="a3"/>
        <w:spacing w:before="93"/>
        <w:rPr>
          <w:rFonts w:hAnsi="宋体" w:cs="宋体"/>
          <w:sz w:val="32"/>
          <w:szCs w:val="32"/>
          <w:shd w:val="clear" w:color="auto" w:fill="FFFFFF"/>
          <w:lang w:val="zh-CN"/>
        </w:rPr>
      </w:pPr>
      <w:r>
        <w:rPr>
          <w:rFonts w:hAnsi="宋体" w:cs="宋体"/>
          <w:sz w:val="32"/>
          <w:szCs w:val="32"/>
          <w:shd w:val="clear" w:color="auto" w:fill="FFFFFF"/>
          <w:lang w:val="zh-CN"/>
        </w:rPr>
        <w:lastRenderedPageBreak/>
        <w:t>（三）改进建议。</w:t>
      </w:r>
    </w:p>
    <w:p w14:paraId="21DB5A30" w14:textId="77777777" w:rsidR="00D01AA6" w:rsidRDefault="00000000">
      <w:pPr>
        <w:pStyle w:val="a3"/>
        <w:spacing w:before="93"/>
        <w:rPr>
          <w:rFonts w:hAnsi="宋体" w:cs="宋体"/>
          <w:sz w:val="32"/>
          <w:szCs w:val="32"/>
          <w:shd w:val="clear" w:color="auto" w:fill="FFFFFF"/>
          <w:lang w:val="zh-CN"/>
        </w:rPr>
      </w:pPr>
      <w:r>
        <w:rPr>
          <w:rFonts w:hAnsi="宋体" w:cs="宋体" w:hint="eastAsia"/>
          <w:sz w:val="32"/>
          <w:szCs w:val="32"/>
          <w:shd w:val="clear" w:color="auto" w:fill="FFFFFF"/>
          <w:lang w:val="zh-CN"/>
        </w:rPr>
        <w:t xml:space="preserve">    无</w:t>
      </w:r>
    </w:p>
    <w:p w14:paraId="771FA12D" w14:textId="77777777" w:rsidR="00D01AA6" w:rsidRDefault="00000000">
      <w:pPr>
        <w:pStyle w:val="a3"/>
        <w:spacing w:before="93"/>
        <w:rPr>
          <w:lang w:val="zh-CN"/>
        </w:rPr>
      </w:pPr>
      <w:r>
        <w:rPr>
          <w:rFonts w:hAnsi="宋体" w:cs="宋体" w:hint="eastAsia"/>
          <w:sz w:val="32"/>
          <w:szCs w:val="32"/>
          <w:shd w:val="clear" w:color="auto" w:fill="FFFFFF"/>
          <w:lang w:val="zh-CN"/>
        </w:rPr>
        <w:t>附件</w:t>
      </w:r>
    </w:p>
    <w:p w14:paraId="13772EF7" w14:textId="77777777" w:rsidR="00D01AA6" w:rsidRDefault="00000000">
      <w:pPr>
        <w:pStyle w:val="a3"/>
        <w:spacing w:before="93"/>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2021年《凉山文学》汉文版发行费项目绩效自评报告</w:t>
      </w:r>
    </w:p>
    <w:p w14:paraId="5E5177B2" w14:textId="77777777" w:rsidR="00D01AA6" w:rsidRDefault="00000000">
      <w:pPr>
        <w:pStyle w:val="a3"/>
        <w:spacing w:before="93"/>
        <w:rPr>
          <w:rFonts w:ascii="楷体_GB2312" w:eastAsia="楷体_GB2312" w:hAnsi="楷体_GB2312" w:cs="楷体_GB2312"/>
          <w:sz w:val="32"/>
          <w:szCs w:val="32"/>
          <w:lang w:val="zh-CN"/>
        </w:rPr>
      </w:pPr>
      <w:r>
        <w:rPr>
          <w:rFonts w:ascii="楷体_GB2312" w:eastAsia="楷体_GB2312" w:hAnsi="楷体_GB2312" w:cs="楷体_GB2312" w:hint="eastAsia"/>
          <w:sz w:val="32"/>
          <w:szCs w:val="32"/>
          <w:lang w:val="zh-CN"/>
        </w:rPr>
        <w:t>一、项目概况</w:t>
      </w:r>
    </w:p>
    <w:p w14:paraId="7669C9D1" w14:textId="77777777" w:rsidR="00D01AA6" w:rsidRDefault="00000000">
      <w:pPr>
        <w:pStyle w:val="a3"/>
        <w:spacing w:before="93"/>
        <w:rPr>
          <w:lang w:val="zh-CN"/>
        </w:rPr>
      </w:pPr>
      <w:r>
        <w:rPr>
          <w:lang w:val="zh-CN"/>
        </w:rPr>
        <w:t>（一）项目资金申报及批复情况。</w:t>
      </w:r>
    </w:p>
    <w:p w14:paraId="5370552E" w14:textId="77777777" w:rsidR="00D01AA6" w:rsidRDefault="00000000">
      <w:pPr>
        <w:pStyle w:val="a3"/>
        <w:spacing w:before="93"/>
        <w:rPr>
          <w:lang w:val="zh-CN"/>
        </w:rPr>
      </w:pPr>
      <w:r>
        <w:rPr>
          <w:rFonts w:hint="eastAsia"/>
        </w:rPr>
        <w:t xml:space="preserve">    </w:t>
      </w:r>
      <w:r>
        <w:rPr>
          <w:lang w:val="zh-CN"/>
        </w:rPr>
        <w:t>年初预算数申报53.5万元，财政批复预算53.5万元。</w:t>
      </w:r>
    </w:p>
    <w:p w14:paraId="1780A21A" w14:textId="77777777" w:rsidR="00D01AA6" w:rsidRDefault="00000000">
      <w:pPr>
        <w:pStyle w:val="a3"/>
        <w:spacing w:before="93"/>
        <w:rPr>
          <w:lang w:val="zh-CN"/>
        </w:rPr>
      </w:pPr>
      <w:r>
        <w:rPr>
          <w:lang w:val="zh-CN"/>
        </w:rPr>
        <w:t>（二）项目绩效目标。</w:t>
      </w:r>
    </w:p>
    <w:p w14:paraId="3CD7717F" w14:textId="77777777" w:rsidR="00D01AA6" w:rsidRDefault="00000000">
      <w:pPr>
        <w:pStyle w:val="a3"/>
        <w:spacing w:before="93"/>
        <w:rPr>
          <w:lang w:val="zh-CN"/>
        </w:rPr>
      </w:pPr>
      <w:r>
        <w:rPr>
          <w:lang w:val="zh-CN"/>
        </w:rPr>
        <w:t>1.项目主要内容</w:t>
      </w:r>
    </w:p>
    <w:p w14:paraId="3029FBDD" w14:textId="77777777" w:rsidR="00D01AA6" w:rsidRDefault="00000000">
      <w:pPr>
        <w:pStyle w:val="a3"/>
        <w:spacing w:before="93"/>
        <w:rPr>
          <w:lang w:val="zh-CN"/>
        </w:rPr>
      </w:pPr>
      <w:r>
        <w:rPr>
          <w:rFonts w:hint="eastAsia"/>
        </w:rPr>
        <w:t xml:space="preserve">    </w:t>
      </w:r>
      <w:r>
        <w:rPr>
          <w:lang w:val="zh-CN"/>
        </w:rPr>
        <w:t>完成《凉山文学》汉文版2021年出版和发行</w:t>
      </w:r>
      <w:r>
        <w:rPr>
          <w:rFonts w:hint="eastAsia"/>
          <w:lang w:val="zh-CN"/>
        </w:rPr>
        <w:t>。</w:t>
      </w:r>
    </w:p>
    <w:p w14:paraId="55B0283F" w14:textId="77777777" w:rsidR="00D01AA6" w:rsidRDefault="00000000">
      <w:pPr>
        <w:pStyle w:val="a3"/>
        <w:spacing w:before="93"/>
        <w:rPr>
          <w:lang w:val="zh-CN"/>
        </w:rPr>
      </w:pPr>
      <w:r>
        <w:rPr>
          <w:lang w:val="zh-CN"/>
        </w:rPr>
        <w:t>2.项目绩效目标</w:t>
      </w:r>
    </w:p>
    <w:p w14:paraId="6204E65B" w14:textId="77777777" w:rsidR="00D01AA6" w:rsidRDefault="00000000">
      <w:pPr>
        <w:pStyle w:val="a3"/>
        <w:spacing w:before="93"/>
        <w:rPr>
          <w:lang w:val="zh-CN"/>
        </w:rPr>
      </w:pPr>
      <w:r>
        <w:rPr>
          <w:rFonts w:hint="eastAsia"/>
        </w:rPr>
        <w:t xml:space="preserve">    </w:t>
      </w:r>
      <w:r>
        <w:rPr>
          <w:lang w:val="zh-CN"/>
        </w:rPr>
        <w:t>数量指标</w:t>
      </w:r>
      <w:r>
        <w:rPr>
          <w:lang w:val="zh-CN"/>
        </w:rPr>
        <w:t>“</w:t>
      </w:r>
      <w:r>
        <w:rPr>
          <w:lang w:val="zh-CN"/>
        </w:rPr>
        <w:t>每年期数</w:t>
      </w:r>
      <w:r>
        <w:rPr>
          <w:lang w:val="zh-CN"/>
        </w:rPr>
        <w:t>”</w:t>
      </w:r>
      <w:r>
        <w:rPr>
          <w:lang w:val="zh-CN"/>
        </w:rPr>
        <w:t>的指标值为</w:t>
      </w:r>
      <w:r>
        <w:rPr>
          <w:lang w:val="zh-CN"/>
        </w:rPr>
        <w:t>“</w:t>
      </w:r>
      <w:r>
        <w:rPr>
          <w:lang w:val="zh-CN"/>
        </w:rPr>
        <w:t>6期</w:t>
      </w:r>
      <w:r>
        <w:rPr>
          <w:lang w:val="zh-CN"/>
        </w:rPr>
        <w:t>”</w:t>
      </w:r>
      <w:r>
        <w:rPr>
          <w:lang w:val="zh-CN"/>
        </w:rPr>
        <w:t>；数量指标</w:t>
      </w:r>
      <w:r>
        <w:rPr>
          <w:lang w:val="zh-CN"/>
        </w:rPr>
        <w:t>“</w:t>
      </w:r>
      <w:r>
        <w:rPr>
          <w:lang w:val="zh-CN"/>
        </w:rPr>
        <w:t>出版册数</w:t>
      </w:r>
      <w:r>
        <w:rPr>
          <w:lang w:val="zh-CN"/>
        </w:rPr>
        <w:t>”</w:t>
      </w:r>
      <w:r>
        <w:rPr>
          <w:lang w:val="zh-CN"/>
        </w:rPr>
        <w:t>的指标值为</w:t>
      </w:r>
      <w:r>
        <w:rPr>
          <w:lang w:val="zh-CN"/>
        </w:rPr>
        <w:t>“</w:t>
      </w:r>
      <w:r>
        <w:rPr>
          <w:lang w:val="zh-CN"/>
        </w:rPr>
        <w:t>48000册</w:t>
      </w:r>
      <w:r>
        <w:rPr>
          <w:lang w:val="zh-CN"/>
        </w:rPr>
        <w:t>”</w:t>
      </w:r>
      <w:r>
        <w:rPr>
          <w:lang w:val="zh-CN"/>
        </w:rPr>
        <w:t>；数量指标</w:t>
      </w:r>
      <w:r>
        <w:rPr>
          <w:lang w:val="zh-CN"/>
        </w:rPr>
        <w:t>“</w:t>
      </w:r>
      <w:r>
        <w:rPr>
          <w:lang w:val="zh-CN"/>
        </w:rPr>
        <w:t>每期字数</w:t>
      </w:r>
      <w:r>
        <w:rPr>
          <w:lang w:val="zh-CN"/>
        </w:rPr>
        <w:t>”</w:t>
      </w:r>
      <w:r>
        <w:rPr>
          <w:lang w:val="zh-CN"/>
        </w:rPr>
        <w:t>的指标值为</w:t>
      </w:r>
      <w:r>
        <w:rPr>
          <w:lang w:val="zh-CN"/>
        </w:rPr>
        <w:t>“</w:t>
      </w:r>
      <w:r>
        <w:rPr>
          <w:lang w:val="zh-CN"/>
        </w:rPr>
        <w:t>36万字，全年216万字</w:t>
      </w:r>
      <w:r>
        <w:rPr>
          <w:lang w:val="zh-CN"/>
        </w:rPr>
        <w:t>”</w:t>
      </w:r>
      <w:r>
        <w:rPr>
          <w:lang w:val="zh-CN"/>
        </w:rPr>
        <w:t>；数量指标</w:t>
      </w:r>
      <w:r>
        <w:rPr>
          <w:lang w:val="zh-CN"/>
        </w:rPr>
        <w:t>“</w:t>
      </w:r>
      <w:r>
        <w:rPr>
          <w:lang w:val="zh-CN"/>
        </w:rPr>
        <w:t>每本页数</w:t>
      </w:r>
      <w:r>
        <w:rPr>
          <w:lang w:val="zh-CN"/>
        </w:rPr>
        <w:t>”</w:t>
      </w:r>
      <w:r>
        <w:rPr>
          <w:lang w:val="zh-CN"/>
        </w:rPr>
        <w:t>的指标值为</w:t>
      </w:r>
      <w:r>
        <w:rPr>
          <w:lang w:val="zh-CN"/>
        </w:rPr>
        <w:t>“</w:t>
      </w:r>
      <w:r>
        <w:rPr>
          <w:lang w:val="zh-CN"/>
        </w:rPr>
        <w:t>144页</w:t>
      </w:r>
      <w:r>
        <w:rPr>
          <w:lang w:val="zh-CN"/>
        </w:rPr>
        <w:t>”</w:t>
      </w:r>
      <w:r>
        <w:rPr>
          <w:lang w:val="zh-CN"/>
        </w:rPr>
        <w:t>；质量指标</w:t>
      </w:r>
      <w:r>
        <w:rPr>
          <w:lang w:val="zh-CN"/>
        </w:rPr>
        <w:t>“</w:t>
      </w:r>
      <w:r>
        <w:rPr>
          <w:lang w:val="zh-CN"/>
        </w:rPr>
        <w:t>制版印刷</w:t>
      </w:r>
      <w:r>
        <w:rPr>
          <w:lang w:val="zh-CN"/>
        </w:rPr>
        <w:t>”</w:t>
      </w:r>
      <w:r>
        <w:rPr>
          <w:lang w:val="zh-CN"/>
        </w:rPr>
        <w:t>的指标值为</w:t>
      </w:r>
      <w:r>
        <w:rPr>
          <w:lang w:val="zh-CN"/>
        </w:rPr>
        <w:t>“</w:t>
      </w:r>
      <w:r>
        <w:rPr>
          <w:lang w:val="zh-CN"/>
        </w:rPr>
        <w:t>达到制版印刷国标</w:t>
      </w:r>
      <w:r>
        <w:rPr>
          <w:lang w:val="zh-CN"/>
        </w:rPr>
        <w:t>”</w:t>
      </w:r>
      <w:r>
        <w:rPr>
          <w:lang w:val="zh-CN"/>
        </w:rPr>
        <w:t>；时效指标</w:t>
      </w:r>
      <w:r>
        <w:rPr>
          <w:lang w:val="zh-CN"/>
        </w:rPr>
        <w:t>“</w:t>
      </w:r>
      <w:r>
        <w:rPr>
          <w:lang w:val="zh-CN"/>
        </w:rPr>
        <w:t>完成时间</w:t>
      </w:r>
      <w:r>
        <w:rPr>
          <w:lang w:val="zh-CN"/>
        </w:rPr>
        <w:t>”</w:t>
      </w:r>
      <w:r>
        <w:rPr>
          <w:lang w:val="zh-CN"/>
        </w:rPr>
        <w:t>的指标值为</w:t>
      </w:r>
      <w:r>
        <w:rPr>
          <w:lang w:val="zh-CN"/>
        </w:rPr>
        <w:t>“</w:t>
      </w:r>
      <w:r>
        <w:rPr>
          <w:lang w:val="zh-CN"/>
        </w:rPr>
        <w:t>2020年12月31日</w:t>
      </w:r>
      <w:r>
        <w:rPr>
          <w:lang w:val="zh-CN"/>
        </w:rPr>
        <w:t>”</w:t>
      </w:r>
      <w:r>
        <w:rPr>
          <w:lang w:val="zh-CN"/>
        </w:rPr>
        <w:t>；成本指标</w:t>
      </w:r>
      <w:r>
        <w:rPr>
          <w:lang w:val="zh-CN"/>
        </w:rPr>
        <w:t>“</w:t>
      </w:r>
      <w:r>
        <w:rPr>
          <w:lang w:val="zh-CN"/>
        </w:rPr>
        <w:t>每本定价</w:t>
      </w:r>
      <w:r>
        <w:rPr>
          <w:lang w:val="zh-CN"/>
        </w:rPr>
        <w:t>”</w:t>
      </w:r>
      <w:r>
        <w:rPr>
          <w:lang w:val="zh-CN"/>
        </w:rPr>
        <w:t>的指标值为</w:t>
      </w:r>
      <w:r>
        <w:rPr>
          <w:lang w:val="zh-CN"/>
        </w:rPr>
        <w:t>“</w:t>
      </w:r>
      <w:r>
        <w:rPr>
          <w:lang w:val="zh-CN"/>
        </w:rPr>
        <w:t>15元/本</w:t>
      </w:r>
      <w:r>
        <w:rPr>
          <w:lang w:val="zh-CN"/>
        </w:rPr>
        <w:t>”</w:t>
      </w:r>
      <w:r>
        <w:rPr>
          <w:lang w:val="zh-CN"/>
        </w:rPr>
        <w:t>；社会效益指标</w:t>
      </w:r>
      <w:r>
        <w:rPr>
          <w:lang w:val="zh-CN"/>
        </w:rPr>
        <w:t>“</w:t>
      </w:r>
      <w:r>
        <w:rPr>
          <w:lang w:val="zh-CN"/>
        </w:rPr>
        <w:t>社会效益</w:t>
      </w:r>
      <w:r>
        <w:rPr>
          <w:lang w:val="zh-CN"/>
        </w:rPr>
        <w:t>”</w:t>
      </w:r>
      <w:r>
        <w:rPr>
          <w:lang w:val="zh-CN"/>
        </w:rPr>
        <w:t>的指标值为</w:t>
      </w:r>
      <w:r>
        <w:rPr>
          <w:lang w:val="zh-CN"/>
        </w:rPr>
        <w:t>“</w:t>
      </w:r>
      <w:r>
        <w:rPr>
          <w:lang w:val="zh-CN"/>
        </w:rPr>
        <w:t>推动凉山民族文学创作于繁荣，推出好作品，发现培养文学新</w:t>
      </w:r>
      <w:r>
        <w:rPr>
          <w:lang w:val="zh-CN"/>
        </w:rPr>
        <w:lastRenderedPageBreak/>
        <w:t>人，展示凉山民族历史文化及新时代改革开发的风采</w:t>
      </w:r>
      <w:r>
        <w:rPr>
          <w:lang w:val="zh-CN"/>
        </w:rPr>
        <w:t>”</w:t>
      </w:r>
      <w:r>
        <w:rPr>
          <w:lang w:val="zh-CN"/>
        </w:rPr>
        <w:t>。</w:t>
      </w:r>
    </w:p>
    <w:p w14:paraId="7106195B" w14:textId="77777777" w:rsidR="00D01AA6" w:rsidRDefault="00000000">
      <w:pPr>
        <w:pStyle w:val="a3"/>
        <w:spacing w:before="93"/>
        <w:rPr>
          <w:lang w:val="zh-CN"/>
        </w:rPr>
      </w:pPr>
      <w:r>
        <w:rPr>
          <w:lang w:val="zh-CN"/>
        </w:rPr>
        <w:t>项目制定了切实可行的目标计划，量化具体、细化可行，项目实施进度计划合理，具体绩效目标见财政项目支出绩效评价指标体系。</w:t>
      </w:r>
    </w:p>
    <w:p w14:paraId="1207B245" w14:textId="77777777" w:rsidR="00D01AA6" w:rsidRDefault="00000000">
      <w:pPr>
        <w:pStyle w:val="a3"/>
        <w:spacing w:before="93"/>
        <w:rPr>
          <w:lang w:val="zh-CN"/>
        </w:rPr>
      </w:pPr>
      <w:r>
        <w:rPr>
          <w:lang w:val="zh-CN"/>
        </w:rPr>
        <w:t>（三）项目资金申报相符性。</w:t>
      </w:r>
    </w:p>
    <w:p w14:paraId="4C4EBE6F" w14:textId="77777777" w:rsidR="00D01AA6" w:rsidRDefault="00000000">
      <w:pPr>
        <w:pStyle w:val="a3"/>
        <w:spacing w:before="93"/>
        <w:rPr>
          <w:lang w:val="zh-CN"/>
        </w:rPr>
      </w:pPr>
      <w:r>
        <w:rPr>
          <w:rFonts w:hint="eastAsia"/>
        </w:rPr>
        <w:t xml:space="preserve">    </w:t>
      </w:r>
      <w:r>
        <w:rPr>
          <w:lang w:val="zh-CN"/>
        </w:rPr>
        <w:t>各项目申报内容与具体实施内容相符，申报目标合理可行。</w:t>
      </w:r>
    </w:p>
    <w:p w14:paraId="03EC791A" w14:textId="77777777" w:rsidR="00D01AA6" w:rsidRDefault="00000000">
      <w:pPr>
        <w:pStyle w:val="a3"/>
        <w:spacing w:before="93"/>
        <w:rPr>
          <w:rFonts w:ascii="楷体_GB2312" w:eastAsia="楷体_GB2312" w:hAnsi="楷体_GB2312" w:cs="楷体_GB2312"/>
          <w:lang w:val="zh-CN"/>
        </w:rPr>
      </w:pPr>
      <w:r>
        <w:rPr>
          <w:rFonts w:ascii="楷体_GB2312" w:eastAsia="楷体_GB2312" w:hAnsi="楷体_GB2312" w:cs="楷体_GB2312" w:hint="eastAsia"/>
          <w:lang w:val="zh-CN"/>
        </w:rPr>
        <w:t>二、项目实施及管理情况</w:t>
      </w:r>
    </w:p>
    <w:p w14:paraId="21EE8695" w14:textId="77777777" w:rsidR="00D01AA6" w:rsidRDefault="00000000">
      <w:pPr>
        <w:pStyle w:val="a3"/>
        <w:spacing w:before="93"/>
        <w:rPr>
          <w:lang w:val="zh-CN"/>
        </w:rPr>
      </w:pPr>
      <w:r>
        <w:rPr>
          <w:lang w:val="zh-CN"/>
        </w:rPr>
        <w:t>（一）资金计划、到位及使用情况。</w:t>
      </w:r>
    </w:p>
    <w:p w14:paraId="56ADB514" w14:textId="77777777" w:rsidR="00D01AA6" w:rsidRDefault="00000000">
      <w:pPr>
        <w:pStyle w:val="a3"/>
        <w:spacing w:before="93"/>
        <w:rPr>
          <w:lang w:val="zh-CN"/>
        </w:rPr>
      </w:pPr>
      <w:r>
        <w:rPr>
          <w:lang w:val="zh-CN"/>
        </w:rPr>
        <w:t>1.资金计划及到位</w:t>
      </w:r>
    </w:p>
    <w:p w14:paraId="6108ADE2" w14:textId="77777777" w:rsidR="00D01AA6" w:rsidRDefault="00000000">
      <w:pPr>
        <w:pStyle w:val="a3"/>
        <w:spacing w:before="93"/>
        <w:rPr>
          <w:lang w:val="zh-CN"/>
        </w:rPr>
      </w:pPr>
      <w:r>
        <w:rPr>
          <w:rFonts w:hint="eastAsia"/>
        </w:rPr>
        <w:t xml:space="preserve">    </w:t>
      </w:r>
      <w:r>
        <w:rPr>
          <w:lang w:val="zh-CN"/>
        </w:rPr>
        <w:t>资金批复53.5万元，实际到位53.5万元，到位率为100%。</w:t>
      </w:r>
    </w:p>
    <w:p w14:paraId="2503AD57" w14:textId="77777777" w:rsidR="00D01AA6" w:rsidRDefault="00000000">
      <w:pPr>
        <w:pStyle w:val="a3"/>
        <w:spacing w:before="93"/>
        <w:rPr>
          <w:lang w:val="zh-CN"/>
        </w:rPr>
      </w:pPr>
      <w:r>
        <w:rPr>
          <w:lang w:val="zh-CN"/>
        </w:rPr>
        <w:t>2.资金使用</w:t>
      </w:r>
    </w:p>
    <w:p w14:paraId="191DAE36" w14:textId="77777777" w:rsidR="00D01AA6" w:rsidRDefault="00000000">
      <w:pPr>
        <w:pStyle w:val="a3"/>
        <w:spacing w:before="93"/>
        <w:rPr>
          <w:lang w:val="zh-CN"/>
        </w:rPr>
      </w:pPr>
      <w:r>
        <w:rPr>
          <w:rFonts w:hint="eastAsia"/>
        </w:rPr>
        <w:t xml:space="preserve">    </w:t>
      </w:r>
      <w:r>
        <w:rPr>
          <w:lang w:val="zh-CN"/>
        </w:rPr>
        <w:t>到目前为止项目共投入资金33.96938万元，资金执行率为63.49%。资金开支范围、标准及支付进度,支付依据合规合法,资金支付与预算相符。</w:t>
      </w:r>
    </w:p>
    <w:p w14:paraId="22B10BA9" w14:textId="77777777" w:rsidR="00D01AA6" w:rsidRDefault="00000000">
      <w:pPr>
        <w:pStyle w:val="a3"/>
        <w:spacing w:before="93"/>
        <w:rPr>
          <w:lang w:val="zh-CN"/>
        </w:rPr>
      </w:pPr>
      <w:r>
        <w:rPr>
          <w:lang w:val="zh-CN"/>
        </w:rPr>
        <w:t>（二）项目财务管理情况。</w:t>
      </w:r>
    </w:p>
    <w:p w14:paraId="7D191527" w14:textId="77777777" w:rsidR="00D01AA6" w:rsidRDefault="00000000">
      <w:pPr>
        <w:pStyle w:val="a3"/>
        <w:spacing w:before="93"/>
        <w:rPr>
          <w:lang w:val="zh-CN"/>
        </w:rPr>
      </w:pPr>
      <w:r>
        <w:rPr>
          <w:rFonts w:hint="eastAsia"/>
        </w:rPr>
        <w:t xml:space="preserve">    </w:t>
      </w:r>
      <w:r>
        <w:rPr>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w:t>
      </w:r>
      <w:r>
        <w:rPr>
          <w:lang w:val="zh-CN"/>
        </w:rPr>
        <w:lastRenderedPageBreak/>
        <w:t>计凭证的情况，会计严格执行财务管理制度，财务处理及时，核算规范。</w:t>
      </w:r>
    </w:p>
    <w:p w14:paraId="464D734D" w14:textId="77777777" w:rsidR="00D01AA6" w:rsidRDefault="00000000">
      <w:pPr>
        <w:pStyle w:val="a3"/>
        <w:spacing w:before="93"/>
        <w:rPr>
          <w:lang w:val="zh-CN"/>
        </w:rPr>
      </w:pPr>
      <w:r>
        <w:rPr>
          <w:lang w:val="zh-CN"/>
        </w:rPr>
        <w:t>（三）项目组织实施情况。</w:t>
      </w:r>
    </w:p>
    <w:p w14:paraId="244D2DD0" w14:textId="77777777" w:rsidR="00D01AA6" w:rsidRDefault="00000000">
      <w:pPr>
        <w:pStyle w:val="a3"/>
        <w:spacing w:before="93"/>
        <w:rPr>
          <w:lang w:val="zh-CN"/>
        </w:rPr>
      </w:pPr>
      <w:r>
        <w:rPr>
          <w:rFonts w:hint="eastAsia"/>
        </w:rPr>
        <w:t xml:space="preserve">    </w:t>
      </w:r>
      <w:r>
        <w:rPr>
          <w:lang w:val="zh-CN"/>
        </w:rPr>
        <w:t>1.机构设置。</w:t>
      </w:r>
    </w:p>
    <w:p w14:paraId="3FE33A10" w14:textId="77777777" w:rsidR="00D01AA6" w:rsidRDefault="00000000">
      <w:pPr>
        <w:pStyle w:val="a3"/>
        <w:spacing w:before="93"/>
        <w:rPr>
          <w:lang w:val="zh-CN"/>
        </w:rPr>
      </w:pPr>
      <w:r>
        <w:rPr>
          <w:rFonts w:hint="eastAsia"/>
        </w:rPr>
        <w:t xml:space="preserve">    </w:t>
      </w:r>
      <w:r>
        <w:rPr>
          <w:lang w:val="zh-CN"/>
        </w:rPr>
        <w:t>财政资金主管部门为州文联，负责安排预算资金，预算批复后拨付资金，负责对资金使用情况进行监督检查。</w:t>
      </w:r>
    </w:p>
    <w:p w14:paraId="0B3745D1" w14:textId="77777777" w:rsidR="00D01AA6" w:rsidRDefault="00000000">
      <w:pPr>
        <w:pStyle w:val="a3"/>
        <w:spacing w:before="93"/>
        <w:rPr>
          <w:lang w:val="zh-CN"/>
        </w:rPr>
      </w:pPr>
      <w:r>
        <w:rPr>
          <w:lang w:val="zh-CN"/>
        </w:rPr>
        <w:t>项目的执行单位为州文联，主要负责项目的具体实施、人员安排、风险管控、预算执行等，负责对按政府采购方式确定服务主体，并对项目服务单位进行监管。</w:t>
      </w:r>
    </w:p>
    <w:p w14:paraId="627E19C6" w14:textId="77777777" w:rsidR="00D01AA6" w:rsidRDefault="00000000">
      <w:pPr>
        <w:pStyle w:val="a3"/>
        <w:spacing w:before="93"/>
        <w:rPr>
          <w:lang w:val="zh-CN"/>
        </w:rPr>
      </w:pPr>
      <w:r>
        <w:rPr>
          <w:rFonts w:hint="eastAsia"/>
        </w:rPr>
        <w:t xml:space="preserve">    </w:t>
      </w:r>
      <w:r>
        <w:rPr>
          <w:lang w:val="zh-CN"/>
        </w:rPr>
        <w:t>项目的</w:t>
      </w:r>
      <w:r>
        <w:rPr>
          <w:rFonts w:hint="eastAsia"/>
          <w:lang w:val="zh-CN"/>
        </w:rPr>
        <w:t>印刷</w:t>
      </w:r>
      <w:r>
        <w:rPr>
          <w:lang w:val="zh-CN"/>
        </w:rPr>
        <w:t>服务单位为</w:t>
      </w:r>
      <w:r>
        <w:rPr>
          <w:rFonts w:hint="eastAsia"/>
          <w:lang w:val="zh-CN"/>
        </w:rPr>
        <w:t>川印文化集团股份有限公司</w:t>
      </w:r>
      <w:r>
        <w:rPr>
          <w:lang w:val="zh-CN"/>
        </w:rPr>
        <w:t>，通过招标采购而中标的单位，严格按照合同约定承担履约，主要是按照合同约定，按时按量提供货物或服务，并且在质保期内提供维修服务。</w:t>
      </w:r>
    </w:p>
    <w:p w14:paraId="1AAF9946" w14:textId="77777777" w:rsidR="00D01AA6" w:rsidRDefault="00000000">
      <w:pPr>
        <w:pStyle w:val="a3"/>
        <w:spacing w:before="93"/>
        <w:rPr>
          <w:lang w:val="zh-CN"/>
        </w:rPr>
      </w:pPr>
      <w:r>
        <w:rPr>
          <w:rFonts w:hint="eastAsia"/>
        </w:rPr>
        <w:t xml:space="preserve">    </w:t>
      </w:r>
      <w:r>
        <w:rPr>
          <w:lang w:val="zh-CN"/>
        </w:rPr>
        <w:t>2.项目监管。</w:t>
      </w:r>
    </w:p>
    <w:p w14:paraId="5D97CBD3" w14:textId="77777777" w:rsidR="00D01AA6" w:rsidRDefault="00000000">
      <w:pPr>
        <w:pStyle w:val="a3"/>
        <w:spacing w:before="93"/>
        <w:rPr>
          <w:lang w:val="zh-CN"/>
        </w:rPr>
      </w:pPr>
      <w:r>
        <w:rPr>
          <w:rFonts w:hint="eastAsia"/>
        </w:rPr>
        <w:t xml:space="preserve">    </w:t>
      </w:r>
      <w:r>
        <w:rPr>
          <w:lang w:val="zh-CN"/>
        </w:rPr>
        <w:t>项目实施单位严格按照相关业务管理办法进行项目实施管理，按照项目计划进度实施，专项资金做到了专款专用，经费支出符合规范。</w:t>
      </w:r>
    </w:p>
    <w:p w14:paraId="23733CBD" w14:textId="77777777" w:rsidR="00D01AA6" w:rsidRDefault="00000000">
      <w:pPr>
        <w:pStyle w:val="a3"/>
        <w:spacing w:before="93"/>
        <w:rPr>
          <w:lang w:val="zh-CN"/>
        </w:rPr>
      </w:pPr>
      <w:r>
        <w:rPr>
          <w:rFonts w:hint="eastAsia"/>
        </w:rPr>
        <w:t xml:space="preserve">    </w:t>
      </w:r>
      <w:r>
        <w:rPr>
          <w:lang w:val="zh-CN"/>
        </w:rPr>
        <w:t>3.项目执行制度。</w:t>
      </w:r>
    </w:p>
    <w:p w14:paraId="16EDE565" w14:textId="77777777" w:rsidR="00D01AA6" w:rsidRDefault="00000000">
      <w:pPr>
        <w:pStyle w:val="a3"/>
        <w:spacing w:before="93"/>
        <w:rPr>
          <w:lang w:val="zh-CN"/>
        </w:rPr>
      </w:pPr>
      <w:r>
        <w:rPr>
          <w:rFonts w:hint="eastAsia"/>
        </w:rPr>
        <w:t xml:space="preserve">    </w:t>
      </w:r>
      <w:r>
        <w:rPr>
          <w:lang w:val="zh-CN"/>
        </w:rPr>
        <w:t>为加强项目管理，确保项目落到实处，充分发挥专项资金的引导作用，主要通过对项目实施情况进行不定期进度检查等现场监管手段，监管各项目工作开展情况，同时对项目资金到位情况</w:t>
      </w:r>
      <w:r>
        <w:rPr>
          <w:lang w:val="zh-CN"/>
        </w:rPr>
        <w:lastRenderedPageBreak/>
        <w:t>和使用情况进行督促检查，对发现的违规现象及时纠正，确保项目资金及时到位，确保项目承担单位按照资金管理办法支出范围进行支出，保证了项目承担单位做到专款专用。在规范管理监督下，项目承担单位建立了规范的财务制度，项目按照计划规范实施，保障了项目的顺利实施。</w:t>
      </w:r>
    </w:p>
    <w:p w14:paraId="3F861926" w14:textId="77777777" w:rsidR="00D01AA6" w:rsidRDefault="00000000">
      <w:pPr>
        <w:pStyle w:val="a3"/>
        <w:spacing w:before="93"/>
        <w:rPr>
          <w:rFonts w:ascii="楷体_GB2312" w:eastAsia="楷体_GB2312" w:hAnsi="楷体_GB2312" w:cs="楷体_GB2312"/>
          <w:lang w:val="zh-CN"/>
        </w:rPr>
      </w:pPr>
      <w:r>
        <w:rPr>
          <w:rFonts w:ascii="楷体_GB2312" w:eastAsia="楷体_GB2312" w:hAnsi="楷体_GB2312" w:cs="楷体_GB2312" w:hint="eastAsia"/>
          <w:lang w:val="zh-CN"/>
        </w:rPr>
        <w:t>三、项目绩效情况</w:t>
      </w:r>
    </w:p>
    <w:p w14:paraId="167FAF42" w14:textId="77777777" w:rsidR="00D01AA6" w:rsidRDefault="00000000">
      <w:pPr>
        <w:pStyle w:val="a3"/>
        <w:spacing w:before="93"/>
        <w:rPr>
          <w:lang w:val="zh-CN"/>
        </w:rPr>
      </w:pPr>
      <w:r>
        <w:rPr>
          <w:lang w:val="zh-CN"/>
        </w:rPr>
        <w:t>（一）项目完成情况。</w:t>
      </w:r>
    </w:p>
    <w:p w14:paraId="3B733265" w14:textId="77777777" w:rsidR="00D01AA6" w:rsidRDefault="00000000">
      <w:pPr>
        <w:pStyle w:val="a3"/>
        <w:spacing w:before="93"/>
        <w:rPr>
          <w:lang w:val="zh-CN"/>
        </w:rPr>
      </w:pPr>
      <w:r>
        <w:rPr>
          <w:rFonts w:hint="eastAsia"/>
        </w:rPr>
        <w:t xml:space="preserve">    </w:t>
      </w:r>
      <w:r>
        <w:rPr>
          <w:lang w:val="zh-CN"/>
        </w:rPr>
        <w:t>本项目共7条产出指标，其中：数量指标</w:t>
      </w:r>
      <w:r>
        <w:rPr>
          <w:lang w:val="zh-CN"/>
        </w:rPr>
        <w:t>“</w:t>
      </w:r>
      <w:r>
        <w:rPr>
          <w:lang w:val="zh-CN"/>
        </w:rPr>
        <w:t>每年期数</w:t>
      </w:r>
      <w:r>
        <w:rPr>
          <w:lang w:val="zh-CN"/>
        </w:rPr>
        <w:t>”</w:t>
      </w:r>
      <w:r>
        <w:rPr>
          <w:lang w:val="zh-CN"/>
        </w:rPr>
        <w:t>的年度指标值为</w:t>
      </w:r>
      <w:r>
        <w:rPr>
          <w:lang w:val="zh-CN"/>
        </w:rPr>
        <w:t>“</w:t>
      </w:r>
      <w:r>
        <w:rPr>
          <w:lang w:val="zh-CN"/>
        </w:rPr>
        <w:t>6期</w:t>
      </w:r>
      <w:r>
        <w:rPr>
          <w:lang w:val="zh-CN"/>
        </w:rPr>
        <w:t>”</w:t>
      </w:r>
      <w:r>
        <w:rPr>
          <w:lang w:val="zh-CN"/>
        </w:rPr>
        <w:t>，实际完成值为</w:t>
      </w:r>
      <w:r>
        <w:rPr>
          <w:lang w:val="zh-CN"/>
        </w:rPr>
        <w:t>“</w:t>
      </w:r>
      <w:r>
        <w:rPr>
          <w:lang w:val="zh-CN"/>
        </w:rPr>
        <w:t>6期</w:t>
      </w:r>
      <w:r>
        <w:rPr>
          <w:lang w:val="zh-CN"/>
        </w:rPr>
        <w:t>”</w:t>
      </w:r>
      <w:r>
        <w:rPr>
          <w:lang w:val="zh-CN"/>
        </w:rPr>
        <w:t>；数量指标</w:t>
      </w:r>
      <w:r>
        <w:rPr>
          <w:lang w:val="zh-CN"/>
        </w:rPr>
        <w:t>“</w:t>
      </w:r>
      <w:r>
        <w:rPr>
          <w:lang w:val="zh-CN"/>
        </w:rPr>
        <w:t>出版册数</w:t>
      </w:r>
      <w:r>
        <w:rPr>
          <w:lang w:val="zh-CN"/>
        </w:rPr>
        <w:t>”</w:t>
      </w:r>
      <w:r>
        <w:rPr>
          <w:lang w:val="zh-CN"/>
        </w:rPr>
        <w:t>的年度指标值为</w:t>
      </w:r>
      <w:r>
        <w:rPr>
          <w:lang w:val="zh-CN"/>
        </w:rPr>
        <w:t>“</w:t>
      </w:r>
      <w:r>
        <w:rPr>
          <w:lang w:val="zh-CN"/>
        </w:rPr>
        <w:t>48000册</w:t>
      </w:r>
      <w:r>
        <w:rPr>
          <w:lang w:val="zh-CN"/>
        </w:rPr>
        <w:t>”</w:t>
      </w:r>
      <w:r>
        <w:rPr>
          <w:lang w:val="zh-CN"/>
        </w:rPr>
        <w:t>，实际完成值为</w:t>
      </w:r>
      <w:r>
        <w:rPr>
          <w:lang w:val="zh-CN"/>
        </w:rPr>
        <w:t>“</w:t>
      </w:r>
      <w:r>
        <w:rPr>
          <w:lang w:val="zh-CN"/>
        </w:rPr>
        <w:t>36000册</w:t>
      </w:r>
      <w:r>
        <w:rPr>
          <w:lang w:val="zh-CN"/>
        </w:rPr>
        <w:t>”</w:t>
      </w:r>
      <w:r>
        <w:rPr>
          <w:lang w:val="zh-CN"/>
        </w:rPr>
        <w:t>；数量指标</w:t>
      </w:r>
      <w:r>
        <w:rPr>
          <w:lang w:val="zh-CN"/>
        </w:rPr>
        <w:t>“</w:t>
      </w:r>
      <w:r>
        <w:rPr>
          <w:lang w:val="zh-CN"/>
        </w:rPr>
        <w:t>每期字数</w:t>
      </w:r>
      <w:r>
        <w:rPr>
          <w:lang w:val="zh-CN"/>
        </w:rPr>
        <w:t>”</w:t>
      </w:r>
      <w:r>
        <w:rPr>
          <w:lang w:val="zh-CN"/>
        </w:rPr>
        <w:t>的年度指标值为</w:t>
      </w:r>
      <w:r>
        <w:rPr>
          <w:lang w:val="zh-CN"/>
        </w:rPr>
        <w:t>“</w:t>
      </w:r>
      <w:r>
        <w:rPr>
          <w:lang w:val="zh-CN"/>
        </w:rPr>
        <w:t>36万字，全年216万字</w:t>
      </w:r>
      <w:r>
        <w:rPr>
          <w:lang w:val="zh-CN"/>
        </w:rPr>
        <w:t>”</w:t>
      </w:r>
      <w:r>
        <w:rPr>
          <w:lang w:val="zh-CN"/>
        </w:rPr>
        <w:t>，实际完成值为</w:t>
      </w:r>
      <w:r>
        <w:rPr>
          <w:lang w:val="zh-CN"/>
        </w:rPr>
        <w:t>“</w:t>
      </w:r>
      <w:r>
        <w:rPr>
          <w:lang w:val="zh-CN"/>
        </w:rPr>
        <w:t>18万字，全年108万字</w:t>
      </w:r>
      <w:r>
        <w:rPr>
          <w:lang w:val="zh-CN"/>
        </w:rPr>
        <w:t>”</w:t>
      </w:r>
      <w:r>
        <w:rPr>
          <w:lang w:val="zh-CN"/>
        </w:rPr>
        <w:t>；数量指标</w:t>
      </w:r>
      <w:r>
        <w:rPr>
          <w:lang w:val="zh-CN"/>
        </w:rPr>
        <w:t>“</w:t>
      </w:r>
      <w:r>
        <w:rPr>
          <w:lang w:val="zh-CN"/>
        </w:rPr>
        <w:t>每本页数</w:t>
      </w:r>
      <w:r>
        <w:rPr>
          <w:lang w:val="zh-CN"/>
        </w:rPr>
        <w:t>”</w:t>
      </w:r>
      <w:r>
        <w:rPr>
          <w:lang w:val="zh-CN"/>
        </w:rPr>
        <w:t>的年度指标值为</w:t>
      </w:r>
      <w:r>
        <w:rPr>
          <w:lang w:val="zh-CN"/>
        </w:rPr>
        <w:t>“</w:t>
      </w:r>
      <w:r>
        <w:rPr>
          <w:lang w:val="zh-CN"/>
        </w:rPr>
        <w:t>144页</w:t>
      </w:r>
      <w:r>
        <w:rPr>
          <w:lang w:val="zh-CN"/>
        </w:rPr>
        <w:t>”</w:t>
      </w:r>
      <w:r>
        <w:rPr>
          <w:lang w:val="zh-CN"/>
        </w:rPr>
        <w:t>，实际完成值为</w:t>
      </w:r>
      <w:r>
        <w:rPr>
          <w:lang w:val="zh-CN"/>
        </w:rPr>
        <w:t>“</w:t>
      </w:r>
      <w:r>
        <w:rPr>
          <w:lang w:val="zh-CN"/>
        </w:rPr>
        <w:t>144页</w:t>
      </w:r>
      <w:r>
        <w:rPr>
          <w:lang w:val="zh-CN"/>
        </w:rPr>
        <w:t>”</w:t>
      </w:r>
      <w:r>
        <w:rPr>
          <w:lang w:val="zh-CN"/>
        </w:rPr>
        <w:t>；质量指标</w:t>
      </w:r>
      <w:r>
        <w:rPr>
          <w:lang w:val="zh-CN"/>
        </w:rPr>
        <w:t>“</w:t>
      </w:r>
      <w:r>
        <w:rPr>
          <w:lang w:val="zh-CN"/>
        </w:rPr>
        <w:t>制版印刷</w:t>
      </w:r>
      <w:r>
        <w:rPr>
          <w:lang w:val="zh-CN"/>
        </w:rPr>
        <w:t>”</w:t>
      </w:r>
      <w:r>
        <w:rPr>
          <w:lang w:val="zh-CN"/>
        </w:rPr>
        <w:t>的年度指标值为</w:t>
      </w:r>
      <w:r>
        <w:rPr>
          <w:lang w:val="zh-CN"/>
        </w:rPr>
        <w:t>“</w:t>
      </w:r>
      <w:r>
        <w:rPr>
          <w:lang w:val="zh-CN"/>
        </w:rPr>
        <w:t>达到制版印刷国标</w:t>
      </w:r>
      <w:r>
        <w:rPr>
          <w:lang w:val="zh-CN"/>
        </w:rPr>
        <w:t>”</w:t>
      </w:r>
      <w:r>
        <w:rPr>
          <w:lang w:val="zh-CN"/>
        </w:rPr>
        <w:t>，实际完成值为</w:t>
      </w:r>
      <w:r>
        <w:rPr>
          <w:lang w:val="zh-CN"/>
        </w:rPr>
        <w:t>“</w:t>
      </w:r>
      <w:r>
        <w:rPr>
          <w:lang w:val="zh-CN"/>
        </w:rPr>
        <w:t>达到制版印刷国标</w:t>
      </w:r>
      <w:r>
        <w:rPr>
          <w:lang w:val="zh-CN"/>
        </w:rPr>
        <w:t>”</w:t>
      </w:r>
      <w:r>
        <w:rPr>
          <w:lang w:val="zh-CN"/>
        </w:rPr>
        <w:t>；时效指标</w:t>
      </w:r>
      <w:r>
        <w:rPr>
          <w:lang w:val="zh-CN"/>
        </w:rPr>
        <w:t>“</w:t>
      </w:r>
      <w:r>
        <w:rPr>
          <w:lang w:val="zh-CN"/>
        </w:rPr>
        <w:t>完成时间</w:t>
      </w:r>
      <w:r>
        <w:rPr>
          <w:lang w:val="zh-CN"/>
        </w:rPr>
        <w:t>”</w:t>
      </w:r>
      <w:r>
        <w:rPr>
          <w:lang w:val="zh-CN"/>
        </w:rPr>
        <w:t>的年度指标值为</w:t>
      </w:r>
      <w:r>
        <w:rPr>
          <w:lang w:val="zh-CN"/>
        </w:rPr>
        <w:t>“</w:t>
      </w:r>
      <w:r>
        <w:rPr>
          <w:lang w:val="zh-CN"/>
        </w:rPr>
        <w:t>2020年12月31日</w:t>
      </w:r>
      <w:r>
        <w:rPr>
          <w:lang w:val="zh-CN"/>
        </w:rPr>
        <w:t>”</w:t>
      </w:r>
      <w:r>
        <w:rPr>
          <w:lang w:val="zh-CN"/>
        </w:rPr>
        <w:t>，实际完成值为</w:t>
      </w:r>
      <w:r>
        <w:rPr>
          <w:lang w:val="zh-CN"/>
        </w:rPr>
        <w:t>“</w:t>
      </w:r>
      <w:r>
        <w:rPr>
          <w:lang w:val="zh-CN"/>
        </w:rPr>
        <w:t>2021年12月31日</w:t>
      </w:r>
      <w:r>
        <w:rPr>
          <w:lang w:val="zh-CN"/>
        </w:rPr>
        <w:t>”</w:t>
      </w:r>
      <w:r>
        <w:rPr>
          <w:lang w:val="zh-CN"/>
        </w:rPr>
        <w:t>；成本指标</w:t>
      </w:r>
      <w:r>
        <w:rPr>
          <w:lang w:val="zh-CN"/>
        </w:rPr>
        <w:t>“</w:t>
      </w:r>
      <w:r>
        <w:rPr>
          <w:lang w:val="zh-CN"/>
        </w:rPr>
        <w:t>每本定价</w:t>
      </w:r>
      <w:r>
        <w:rPr>
          <w:lang w:val="zh-CN"/>
        </w:rPr>
        <w:t>”</w:t>
      </w:r>
      <w:r>
        <w:rPr>
          <w:lang w:val="zh-CN"/>
        </w:rPr>
        <w:t>的年度指标值为</w:t>
      </w:r>
      <w:r>
        <w:rPr>
          <w:lang w:val="zh-CN"/>
        </w:rPr>
        <w:t>“</w:t>
      </w:r>
      <w:r>
        <w:rPr>
          <w:lang w:val="zh-CN"/>
        </w:rPr>
        <w:t>15元/本</w:t>
      </w:r>
      <w:r>
        <w:rPr>
          <w:lang w:val="zh-CN"/>
        </w:rPr>
        <w:t>”</w:t>
      </w:r>
      <w:r>
        <w:rPr>
          <w:lang w:val="zh-CN"/>
        </w:rPr>
        <w:t>，实际完成值为</w:t>
      </w:r>
      <w:r>
        <w:rPr>
          <w:lang w:val="zh-CN"/>
        </w:rPr>
        <w:t>“</w:t>
      </w:r>
      <w:r>
        <w:rPr>
          <w:lang w:val="zh-CN"/>
        </w:rPr>
        <w:t>15元/本</w:t>
      </w:r>
      <w:r>
        <w:rPr>
          <w:lang w:val="zh-CN"/>
        </w:rPr>
        <w:t>”</w:t>
      </w:r>
      <w:r>
        <w:rPr>
          <w:lang w:val="zh-CN"/>
        </w:rPr>
        <w:t>。目前项目已完成验收，成本控制在项目计划内，完成了项目计划完成目标。</w:t>
      </w:r>
    </w:p>
    <w:p w14:paraId="4D61281A" w14:textId="77777777" w:rsidR="00D01AA6" w:rsidRDefault="00000000">
      <w:pPr>
        <w:pStyle w:val="a3"/>
        <w:spacing w:before="93"/>
        <w:rPr>
          <w:lang w:val="zh-CN"/>
        </w:rPr>
      </w:pPr>
      <w:r>
        <w:rPr>
          <w:lang w:val="zh-CN"/>
        </w:rPr>
        <w:t>（二）项目效益情况。</w:t>
      </w:r>
    </w:p>
    <w:p w14:paraId="234C5E5D" w14:textId="77777777" w:rsidR="00D01AA6" w:rsidRDefault="00000000">
      <w:pPr>
        <w:pStyle w:val="a3"/>
        <w:spacing w:before="93"/>
        <w:rPr>
          <w:lang w:val="zh-CN"/>
        </w:rPr>
      </w:pPr>
      <w:r>
        <w:rPr>
          <w:rFonts w:hint="eastAsia"/>
        </w:rPr>
        <w:t xml:space="preserve">    </w:t>
      </w:r>
      <w:r>
        <w:rPr>
          <w:lang w:val="zh-CN"/>
        </w:rPr>
        <w:t>本项目共1条效益指标，其中：社会效益指标</w:t>
      </w:r>
      <w:r>
        <w:rPr>
          <w:lang w:val="zh-CN"/>
        </w:rPr>
        <w:t>“</w:t>
      </w:r>
      <w:r>
        <w:rPr>
          <w:lang w:val="zh-CN"/>
        </w:rPr>
        <w:t>社会效益</w:t>
      </w:r>
      <w:r>
        <w:rPr>
          <w:lang w:val="zh-CN"/>
        </w:rPr>
        <w:t>”</w:t>
      </w:r>
      <w:r>
        <w:rPr>
          <w:lang w:val="zh-CN"/>
        </w:rPr>
        <w:lastRenderedPageBreak/>
        <w:t>的年度指标值为</w:t>
      </w:r>
      <w:r>
        <w:rPr>
          <w:lang w:val="zh-CN"/>
        </w:rPr>
        <w:t>“</w:t>
      </w:r>
      <w:r>
        <w:rPr>
          <w:lang w:val="zh-CN"/>
        </w:rPr>
        <w:t>推动凉山民族文学创作于繁荣，推出好作品，发现培养文学新人，展示凉山民族历史文化及新时代改革开发的风采</w:t>
      </w:r>
      <w:r>
        <w:rPr>
          <w:lang w:val="zh-CN"/>
        </w:rPr>
        <w:t>”</w:t>
      </w:r>
      <w:r>
        <w:rPr>
          <w:lang w:val="zh-CN"/>
        </w:rPr>
        <w:t>，实际完成值为</w:t>
      </w:r>
      <w:r>
        <w:rPr>
          <w:lang w:val="zh-CN"/>
        </w:rPr>
        <w:t>“</w:t>
      </w:r>
      <w:r>
        <w:rPr>
          <w:lang w:val="zh-CN"/>
        </w:rPr>
        <w:t>推动凉山民族文学创作于繁荣，推出好作品，发现培养文学新人，展示凉山民族历史文化及新时代改革开发的风采</w:t>
      </w:r>
      <w:r>
        <w:rPr>
          <w:lang w:val="zh-CN"/>
        </w:rPr>
        <w:t>”</w:t>
      </w:r>
      <w:r>
        <w:rPr>
          <w:lang w:val="zh-CN"/>
        </w:rPr>
        <w:t>。</w:t>
      </w:r>
    </w:p>
    <w:p w14:paraId="43CCE55C" w14:textId="77777777" w:rsidR="00D01AA6" w:rsidRDefault="00000000">
      <w:pPr>
        <w:pStyle w:val="a3"/>
        <w:spacing w:before="93"/>
        <w:rPr>
          <w:rFonts w:ascii="楷体_GB2312" w:eastAsia="楷体_GB2312" w:hAnsi="楷体_GB2312" w:cs="楷体_GB2312"/>
          <w:lang w:val="zh-CN"/>
        </w:rPr>
      </w:pPr>
      <w:r>
        <w:rPr>
          <w:rFonts w:ascii="楷体_GB2312" w:eastAsia="楷体_GB2312" w:hAnsi="楷体_GB2312" w:cs="楷体_GB2312" w:hint="eastAsia"/>
          <w:lang w:val="zh-CN"/>
        </w:rPr>
        <w:t>四、问题及建议</w:t>
      </w:r>
    </w:p>
    <w:p w14:paraId="2687D084" w14:textId="77777777" w:rsidR="00D01AA6" w:rsidRDefault="00000000">
      <w:pPr>
        <w:pStyle w:val="a3"/>
        <w:spacing w:before="93"/>
        <w:rPr>
          <w:lang w:val="zh-CN"/>
        </w:rPr>
      </w:pPr>
      <w:r>
        <w:rPr>
          <w:lang w:val="zh-CN"/>
        </w:rPr>
        <w:t>（一）存在的问题。</w:t>
      </w:r>
    </w:p>
    <w:p w14:paraId="4357267A" w14:textId="77777777" w:rsidR="00D01AA6" w:rsidRDefault="00000000">
      <w:pPr>
        <w:pStyle w:val="a3"/>
        <w:spacing w:before="93"/>
        <w:rPr>
          <w:lang w:val="zh-CN"/>
        </w:rPr>
      </w:pPr>
      <w:r>
        <w:rPr>
          <w:rFonts w:hint="eastAsia"/>
        </w:rPr>
        <w:t xml:space="preserve">    </w:t>
      </w:r>
      <w:r>
        <w:rPr>
          <w:lang w:val="zh-CN"/>
        </w:rPr>
        <w:t>1.资金执行率为63.49%，未全部执行，原因是该项目资金有结余，因项目印刷费用未结算，故2022年支付。</w:t>
      </w:r>
    </w:p>
    <w:p w14:paraId="016BFDF3" w14:textId="77777777" w:rsidR="00D01AA6" w:rsidRDefault="00000000">
      <w:pPr>
        <w:pStyle w:val="a3"/>
        <w:spacing w:before="93"/>
        <w:rPr>
          <w:lang w:val="zh-CN"/>
        </w:rPr>
      </w:pPr>
      <w:r>
        <w:rPr>
          <w:rFonts w:hint="eastAsia"/>
        </w:rPr>
        <w:t xml:space="preserve">    </w:t>
      </w:r>
      <w:r>
        <w:rPr>
          <w:lang w:val="zh-CN"/>
        </w:rPr>
        <w:t>2.项目未按计划完成。数量指标</w:t>
      </w:r>
      <w:r>
        <w:rPr>
          <w:lang w:val="zh-CN"/>
        </w:rPr>
        <w:t>“</w:t>
      </w:r>
      <w:r>
        <w:rPr>
          <w:lang w:val="zh-CN"/>
        </w:rPr>
        <w:t>出版册数</w:t>
      </w:r>
      <w:r>
        <w:rPr>
          <w:lang w:val="zh-CN"/>
        </w:rPr>
        <w:t>”</w:t>
      </w:r>
      <w:r>
        <w:rPr>
          <w:lang w:val="zh-CN"/>
        </w:rPr>
        <w:t>的年度指标值为</w:t>
      </w:r>
      <w:r>
        <w:rPr>
          <w:lang w:val="zh-CN"/>
        </w:rPr>
        <w:t>“</w:t>
      </w:r>
      <w:r>
        <w:rPr>
          <w:lang w:val="zh-CN"/>
        </w:rPr>
        <w:t>48000册</w:t>
      </w:r>
      <w:r>
        <w:rPr>
          <w:lang w:val="zh-CN"/>
        </w:rPr>
        <w:t>”</w:t>
      </w:r>
      <w:r>
        <w:rPr>
          <w:lang w:val="zh-CN"/>
        </w:rPr>
        <w:t>，实际完成值为</w:t>
      </w:r>
      <w:r>
        <w:rPr>
          <w:lang w:val="zh-CN"/>
        </w:rPr>
        <w:t>“</w:t>
      </w:r>
      <w:r>
        <w:rPr>
          <w:lang w:val="zh-CN"/>
        </w:rPr>
        <w:t>36000册</w:t>
      </w:r>
      <w:r>
        <w:rPr>
          <w:lang w:val="zh-CN"/>
        </w:rPr>
        <w:t>”</w:t>
      </w:r>
      <w:r>
        <w:rPr>
          <w:lang w:val="zh-CN"/>
        </w:rPr>
        <w:t>，偏差原因是</w:t>
      </w:r>
      <w:r>
        <w:rPr>
          <w:lang w:val="zh-CN"/>
        </w:rPr>
        <w:t>“</w:t>
      </w:r>
      <w:r>
        <w:rPr>
          <w:lang w:val="zh-CN"/>
        </w:rPr>
        <w:t>2021年订阅量减少</w:t>
      </w:r>
      <w:r>
        <w:rPr>
          <w:lang w:val="zh-CN"/>
        </w:rPr>
        <w:t>”</w:t>
      </w:r>
      <w:r>
        <w:rPr>
          <w:lang w:val="zh-CN"/>
        </w:rPr>
        <w:t>；数量指标</w:t>
      </w:r>
      <w:r>
        <w:rPr>
          <w:lang w:val="zh-CN"/>
        </w:rPr>
        <w:t>“</w:t>
      </w:r>
      <w:r>
        <w:rPr>
          <w:lang w:val="zh-CN"/>
        </w:rPr>
        <w:t>每期字数</w:t>
      </w:r>
      <w:r>
        <w:rPr>
          <w:lang w:val="zh-CN"/>
        </w:rPr>
        <w:t>”</w:t>
      </w:r>
      <w:r>
        <w:rPr>
          <w:lang w:val="zh-CN"/>
        </w:rPr>
        <w:t>的年度指标值为</w:t>
      </w:r>
      <w:r>
        <w:rPr>
          <w:lang w:val="zh-CN"/>
        </w:rPr>
        <w:t>“</w:t>
      </w:r>
      <w:r>
        <w:rPr>
          <w:lang w:val="zh-CN"/>
        </w:rPr>
        <w:t>36万字，全年216万字</w:t>
      </w:r>
      <w:r>
        <w:rPr>
          <w:lang w:val="zh-CN"/>
        </w:rPr>
        <w:t>”</w:t>
      </w:r>
      <w:r>
        <w:rPr>
          <w:lang w:val="zh-CN"/>
        </w:rPr>
        <w:t>，实际完成值为</w:t>
      </w:r>
      <w:r>
        <w:rPr>
          <w:lang w:val="zh-CN"/>
        </w:rPr>
        <w:t>“</w:t>
      </w:r>
      <w:r>
        <w:rPr>
          <w:lang w:val="zh-CN"/>
        </w:rPr>
        <w:t>18万字，全年108万字</w:t>
      </w:r>
      <w:r>
        <w:rPr>
          <w:lang w:val="zh-CN"/>
        </w:rPr>
        <w:t>”</w:t>
      </w:r>
      <w:r>
        <w:rPr>
          <w:lang w:val="zh-CN"/>
        </w:rPr>
        <w:t>，偏差原因是</w:t>
      </w:r>
      <w:r>
        <w:rPr>
          <w:lang w:val="zh-CN"/>
        </w:rPr>
        <w:t>“</w:t>
      </w:r>
      <w:r>
        <w:rPr>
          <w:lang w:val="zh-CN"/>
        </w:rPr>
        <w:t>实际出版字数较预算少</w:t>
      </w:r>
      <w:r>
        <w:rPr>
          <w:lang w:val="zh-CN"/>
        </w:rPr>
        <w:t>”</w:t>
      </w:r>
      <w:r>
        <w:rPr>
          <w:lang w:val="zh-CN"/>
        </w:rPr>
        <w:t>。</w:t>
      </w:r>
    </w:p>
    <w:p w14:paraId="26FA0EC6" w14:textId="77777777" w:rsidR="00D01AA6" w:rsidRDefault="00000000">
      <w:pPr>
        <w:pStyle w:val="a3"/>
        <w:spacing w:before="93"/>
        <w:rPr>
          <w:lang w:val="zh-CN"/>
        </w:rPr>
      </w:pPr>
      <w:r>
        <w:rPr>
          <w:rFonts w:hint="eastAsia"/>
        </w:rPr>
        <w:t xml:space="preserve">    </w:t>
      </w:r>
      <w:r>
        <w:rPr>
          <w:lang w:val="zh-CN"/>
        </w:rPr>
        <w:t>3.绩效评价表中</w:t>
      </w:r>
      <w:r>
        <w:rPr>
          <w:lang w:val="zh-CN"/>
        </w:rPr>
        <w:t>“</w:t>
      </w:r>
      <w:r>
        <w:rPr>
          <w:lang w:val="zh-CN"/>
        </w:rPr>
        <w:t>完成结果</w:t>
      </w:r>
      <w:r>
        <w:rPr>
          <w:lang w:val="zh-CN"/>
        </w:rPr>
        <w:t>”</w:t>
      </w:r>
      <w:r>
        <w:rPr>
          <w:lang w:val="zh-CN"/>
        </w:rPr>
        <w:t>下</w:t>
      </w:r>
      <w:r>
        <w:rPr>
          <w:lang w:val="zh-CN"/>
        </w:rPr>
        <w:t>“</w:t>
      </w:r>
      <w:r>
        <w:rPr>
          <w:lang w:val="zh-CN"/>
        </w:rPr>
        <w:t>资金结余</w:t>
      </w:r>
      <w:r>
        <w:rPr>
          <w:lang w:val="zh-CN"/>
        </w:rPr>
        <w:t>”</w:t>
      </w:r>
      <w:r>
        <w:rPr>
          <w:lang w:val="zh-CN"/>
        </w:rPr>
        <w:t>的三级指标</w:t>
      </w:r>
      <w:r>
        <w:rPr>
          <w:lang w:val="zh-CN"/>
        </w:rPr>
        <w:t>“</w:t>
      </w:r>
      <w:r>
        <w:rPr>
          <w:lang w:val="zh-CN"/>
        </w:rPr>
        <w:t>资金结余</w:t>
      </w:r>
      <w:r>
        <w:rPr>
          <w:lang w:val="zh-CN"/>
        </w:rPr>
        <w:t>”</w:t>
      </w:r>
      <w:r>
        <w:rPr>
          <w:lang w:val="zh-CN"/>
        </w:rPr>
        <w:t>分值5分，指标实际得分0分，扣分原因为</w:t>
      </w:r>
      <w:r>
        <w:rPr>
          <w:lang w:val="zh-CN"/>
        </w:rPr>
        <w:t>“</w:t>
      </w:r>
      <w:r>
        <w:rPr>
          <w:lang w:val="zh-CN"/>
        </w:rPr>
        <w:t>该项目资金有结余，因项目印刷费用未结算，故2022年支付</w:t>
      </w:r>
      <w:r>
        <w:rPr>
          <w:lang w:val="zh-CN"/>
        </w:rPr>
        <w:t>”</w:t>
      </w:r>
      <w:r>
        <w:rPr>
          <w:lang w:val="zh-CN"/>
        </w:rPr>
        <w:t>；</w:t>
      </w:r>
      <w:r>
        <w:rPr>
          <w:lang w:val="zh-CN"/>
        </w:rPr>
        <w:t>“</w:t>
      </w:r>
      <w:r>
        <w:rPr>
          <w:lang w:val="zh-CN"/>
        </w:rPr>
        <w:t>完成结果</w:t>
      </w:r>
      <w:r>
        <w:rPr>
          <w:lang w:val="zh-CN"/>
        </w:rPr>
        <w:t>”</w:t>
      </w:r>
      <w:r>
        <w:rPr>
          <w:lang w:val="zh-CN"/>
        </w:rPr>
        <w:t>下</w:t>
      </w:r>
      <w:r>
        <w:rPr>
          <w:lang w:val="zh-CN"/>
        </w:rPr>
        <w:t>“</w:t>
      </w:r>
      <w:r>
        <w:rPr>
          <w:lang w:val="zh-CN"/>
        </w:rPr>
        <w:t>预算完成</w:t>
      </w:r>
      <w:r>
        <w:rPr>
          <w:lang w:val="zh-CN"/>
        </w:rPr>
        <w:t>”</w:t>
      </w:r>
      <w:r>
        <w:rPr>
          <w:lang w:val="zh-CN"/>
        </w:rPr>
        <w:t>的三级指标</w:t>
      </w:r>
      <w:r>
        <w:rPr>
          <w:lang w:val="zh-CN"/>
        </w:rPr>
        <w:t>“</w:t>
      </w:r>
      <w:r>
        <w:rPr>
          <w:lang w:val="zh-CN"/>
        </w:rPr>
        <w:t>按预算要求完成</w:t>
      </w:r>
      <w:r>
        <w:rPr>
          <w:lang w:val="zh-CN"/>
        </w:rPr>
        <w:t>”</w:t>
      </w:r>
      <w:r>
        <w:rPr>
          <w:lang w:val="zh-CN"/>
        </w:rPr>
        <w:t>分值3分，指标实际得分0分，扣分原因为</w:t>
      </w:r>
      <w:r>
        <w:rPr>
          <w:lang w:val="zh-CN"/>
        </w:rPr>
        <w:t>“</w:t>
      </w:r>
      <w:r>
        <w:rPr>
          <w:lang w:val="zh-CN"/>
        </w:rPr>
        <w:t>该项目资金有结余，因项目印刷费用未结算，故2022年支付</w:t>
      </w:r>
      <w:r>
        <w:rPr>
          <w:lang w:val="zh-CN"/>
        </w:rPr>
        <w:t>”</w:t>
      </w:r>
      <w:r>
        <w:rPr>
          <w:lang w:val="zh-CN"/>
        </w:rPr>
        <w:t>。</w:t>
      </w:r>
    </w:p>
    <w:p w14:paraId="62157DF2" w14:textId="77777777" w:rsidR="00D01AA6" w:rsidRDefault="00000000">
      <w:pPr>
        <w:pStyle w:val="a3"/>
        <w:spacing w:before="93"/>
        <w:rPr>
          <w:lang w:val="zh-CN"/>
        </w:rPr>
      </w:pPr>
      <w:r>
        <w:rPr>
          <w:lang w:val="zh-CN"/>
        </w:rPr>
        <w:t>（二）相关建议。</w:t>
      </w:r>
    </w:p>
    <w:p w14:paraId="6D8DA535" w14:textId="77777777" w:rsidR="00D01AA6" w:rsidRDefault="00000000">
      <w:pPr>
        <w:pStyle w:val="a3"/>
        <w:spacing w:before="93"/>
        <w:rPr>
          <w:lang w:val="zh-CN"/>
        </w:rPr>
      </w:pPr>
      <w:r>
        <w:rPr>
          <w:rFonts w:hint="eastAsia"/>
        </w:rPr>
        <w:lastRenderedPageBreak/>
        <w:t xml:space="preserve">    </w:t>
      </w:r>
      <w:r>
        <w:rPr>
          <w:lang w:val="zh-CN"/>
        </w:rPr>
        <w:t>1.完善预算管理制度、财务管理制度，合理预算执行进度。健全单位财务管理制度体系，规范单位财务行为。掌握好财务结算支出进度，充分发挥财政资金的使用效益。</w:t>
      </w:r>
    </w:p>
    <w:p w14:paraId="6E07E72D" w14:textId="77777777" w:rsidR="00D01AA6" w:rsidRDefault="00000000">
      <w:pPr>
        <w:pStyle w:val="a3"/>
        <w:spacing w:before="93"/>
        <w:rPr>
          <w:lang w:val="zh-CN"/>
        </w:rPr>
      </w:pPr>
      <w:r>
        <w:rPr>
          <w:rFonts w:hint="eastAsia"/>
        </w:rPr>
        <w:t xml:space="preserve">    </w:t>
      </w:r>
      <w:r>
        <w:rPr>
          <w:lang w:val="zh-CN"/>
        </w:rPr>
        <w:t>2.完善项目管理制度，加强对项目运行的监管力度，督促工作按照预定计划进行，保障项目的正常进度，提高项目完成率。</w:t>
      </w:r>
    </w:p>
    <w:p w14:paraId="403C8C2E" w14:textId="77777777" w:rsidR="00D01AA6" w:rsidRDefault="00000000">
      <w:pPr>
        <w:pStyle w:val="a3"/>
        <w:spacing w:before="93"/>
        <w:rPr>
          <w:lang w:val="zh-CN"/>
        </w:rPr>
      </w:pPr>
      <w:r>
        <w:rPr>
          <w:rFonts w:hint="eastAsia"/>
        </w:rPr>
        <w:t xml:space="preserve">    </w:t>
      </w:r>
      <w:r>
        <w:rPr>
          <w:lang w:val="zh-CN"/>
        </w:rPr>
        <w:t>3.完善项目管理制度，加强对项目运行的监管力度，督促工作按照预定计划进行，保障项目的正常进度，提高项目完成率。</w:t>
      </w:r>
    </w:p>
    <w:p w14:paraId="6DDA8AAA" w14:textId="77777777" w:rsidR="00D01AA6" w:rsidRDefault="00000000">
      <w:pPr>
        <w:pStyle w:val="a3"/>
        <w:spacing w:before="93"/>
        <w:ind w:firstLineChars="200" w:firstLine="600"/>
        <w:rPr>
          <w:lang w:val="zh-CN"/>
        </w:rPr>
      </w:pPr>
      <w:r>
        <w:rPr>
          <w:lang w:val="zh-CN"/>
        </w:rPr>
        <w:t>4.完善预算管理制度、财务管理制度，合理预算执行进度。健全单位财务管理制度体系，规范单位财务行为。掌握好财务结算支出进度，充分发挥财政资金的使用效益。</w:t>
      </w:r>
    </w:p>
    <w:p w14:paraId="7406804F" w14:textId="77777777" w:rsidR="00D01AA6" w:rsidRDefault="00D01AA6">
      <w:pPr>
        <w:pStyle w:val="a3"/>
        <w:spacing w:before="93"/>
        <w:ind w:firstLineChars="200" w:firstLine="600"/>
        <w:rPr>
          <w:lang w:val="zh-CN"/>
        </w:rPr>
      </w:pPr>
    </w:p>
    <w:p w14:paraId="38754DE9" w14:textId="77777777" w:rsidR="00D01AA6" w:rsidRDefault="00D01AA6">
      <w:pPr>
        <w:pStyle w:val="a3"/>
        <w:spacing w:before="93"/>
        <w:ind w:firstLineChars="200" w:firstLine="600"/>
        <w:rPr>
          <w:lang w:val="zh-CN"/>
        </w:rPr>
      </w:pPr>
    </w:p>
    <w:p w14:paraId="073ABD30" w14:textId="77777777" w:rsidR="00D01AA6" w:rsidRDefault="00D01AA6">
      <w:pPr>
        <w:pStyle w:val="a3"/>
        <w:spacing w:before="93"/>
        <w:ind w:firstLineChars="200" w:firstLine="600"/>
        <w:rPr>
          <w:lang w:val="zh-CN"/>
        </w:rPr>
      </w:pPr>
    </w:p>
    <w:p w14:paraId="7378903C" w14:textId="77777777" w:rsidR="00D01AA6" w:rsidRDefault="00D01AA6">
      <w:pPr>
        <w:pStyle w:val="a3"/>
        <w:spacing w:before="93"/>
        <w:ind w:firstLineChars="200" w:firstLine="600"/>
        <w:rPr>
          <w:lang w:val="zh-CN"/>
        </w:rPr>
      </w:pPr>
    </w:p>
    <w:p w14:paraId="734237AB" w14:textId="77777777" w:rsidR="00D01AA6" w:rsidRDefault="00D01AA6">
      <w:pPr>
        <w:pStyle w:val="a3"/>
        <w:spacing w:before="93"/>
        <w:ind w:firstLineChars="200" w:firstLine="600"/>
        <w:rPr>
          <w:lang w:val="zh-CN"/>
        </w:rPr>
      </w:pPr>
    </w:p>
    <w:p w14:paraId="4E5E8E49" w14:textId="77777777" w:rsidR="00D01AA6" w:rsidRDefault="00D01AA6">
      <w:pPr>
        <w:pStyle w:val="a3"/>
        <w:spacing w:before="93"/>
        <w:ind w:firstLineChars="200" w:firstLine="600"/>
        <w:rPr>
          <w:lang w:val="zh-CN"/>
        </w:rPr>
      </w:pPr>
    </w:p>
    <w:p w14:paraId="1C856768" w14:textId="77777777" w:rsidR="00D01AA6" w:rsidRDefault="00D01AA6">
      <w:pPr>
        <w:pStyle w:val="a3"/>
        <w:spacing w:before="93"/>
        <w:ind w:firstLineChars="200" w:firstLine="600"/>
        <w:rPr>
          <w:lang w:val="zh-CN"/>
        </w:rPr>
      </w:pPr>
    </w:p>
    <w:p w14:paraId="44DCAEF0" w14:textId="77777777" w:rsidR="00D01AA6" w:rsidRDefault="00D01AA6">
      <w:pPr>
        <w:pStyle w:val="a3"/>
        <w:spacing w:before="93"/>
        <w:ind w:firstLineChars="200" w:firstLine="600"/>
        <w:rPr>
          <w:lang w:val="zh-CN"/>
        </w:rPr>
      </w:pPr>
    </w:p>
    <w:p w14:paraId="613002D4" w14:textId="77777777" w:rsidR="00D01AA6" w:rsidRDefault="00D01AA6">
      <w:pPr>
        <w:pStyle w:val="a3"/>
        <w:spacing w:before="93"/>
        <w:ind w:firstLineChars="200" w:firstLine="600"/>
        <w:rPr>
          <w:lang w:val="zh-CN"/>
        </w:rPr>
      </w:pPr>
    </w:p>
    <w:p w14:paraId="09E97076" w14:textId="77777777" w:rsidR="00D01AA6" w:rsidRDefault="00D01AA6">
      <w:pPr>
        <w:pStyle w:val="a3"/>
        <w:spacing w:before="93"/>
        <w:ind w:firstLineChars="200" w:firstLine="600"/>
        <w:rPr>
          <w:lang w:val="zh-CN"/>
        </w:rPr>
      </w:pPr>
    </w:p>
    <w:p w14:paraId="5B8C127E" w14:textId="77777777" w:rsidR="00D01AA6" w:rsidRDefault="00D01AA6">
      <w:pPr>
        <w:pStyle w:val="a3"/>
        <w:spacing w:before="93"/>
        <w:ind w:firstLineChars="200" w:firstLine="600"/>
        <w:rPr>
          <w:lang w:val="zh-CN"/>
        </w:rPr>
      </w:pPr>
    </w:p>
    <w:p w14:paraId="27AE4B62" w14:textId="77777777" w:rsidR="00D01AA6" w:rsidRDefault="00D01AA6">
      <w:pPr>
        <w:pStyle w:val="a3"/>
        <w:spacing w:before="93"/>
        <w:ind w:firstLineChars="200" w:firstLine="600"/>
        <w:rPr>
          <w:lang w:val="zh-CN"/>
        </w:rPr>
      </w:pPr>
    </w:p>
    <w:p w14:paraId="648EBFBF" w14:textId="77777777" w:rsidR="00D01AA6" w:rsidRDefault="00D01AA6">
      <w:pPr>
        <w:pStyle w:val="a3"/>
        <w:spacing w:before="93"/>
        <w:ind w:firstLineChars="200" w:firstLine="600"/>
        <w:rPr>
          <w:lang w:val="zh-CN"/>
        </w:rPr>
      </w:pPr>
    </w:p>
    <w:p w14:paraId="535EF7B9" w14:textId="77777777" w:rsidR="00D01AA6" w:rsidRDefault="00000000">
      <w:pPr>
        <w:pStyle w:val="a3"/>
        <w:spacing w:before="93"/>
        <w:ind w:firstLineChars="200" w:firstLine="880"/>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2021年《凉山文学》彝族文版发行费项目绩效自评报告</w:t>
      </w:r>
    </w:p>
    <w:p w14:paraId="7D525F47" w14:textId="77777777" w:rsidR="00D01AA6" w:rsidRDefault="00000000">
      <w:pPr>
        <w:pStyle w:val="a3"/>
        <w:spacing w:before="93"/>
        <w:ind w:firstLineChars="200" w:firstLine="600"/>
        <w:rPr>
          <w:lang w:val="zh-CN"/>
        </w:rPr>
      </w:pPr>
      <w:r>
        <w:rPr>
          <w:rFonts w:hint="eastAsia"/>
          <w:lang w:val="zh-CN"/>
        </w:rPr>
        <w:t>一、项目概况</w:t>
      </w:r>
    </w:p>
    <w:p w14:paraId="5C1E1649" w14:textId="77777777" w:rsidR="00D01AA6" w:rsidRDefault="00000000">
      <w:pPr>
        <w:pStyle w:val="a3"/>
        <w:spacing w:before="93"/>
        <w:ind w:firstLineChars="200" w:firstLine="600"/>
        <w:rPr>
          <w:lang w:val="zh-CN"/>
        </w:rPr>
      </w:pPr>
      <w:r>
        <w:rPr>
          <w:rFonts w:hint="eastAsia"/>
          <w:lang w:val="zh-CN"/>
        </w:rPr>
        <w:t>（一）项目资金申报及批复情况。</w:t>
      </w:r>
    </w:p>
    <w:p w14:paraId="0949D327" w14:textId="77777777" w:rsidR="00D01AA6" w:rsidRDefault="00000000">
      <w:pPr>
        <w:pStyle w:val="a3"/>
        <w:spacing w:before="93"/>
        <w:ind w:firstLineChars="200" w:firstLine="600"/>
        <w:rPr>
          <w:lang w:val="zh-CN"/>
        </w:rPr>
      </w:pPr>
      <w:r>
        <w:rPr>
          <w:rFonts w:hint="eastAsia"/>
          <w:lang w:val="zh-CN"/>
        </w:rPr>
        <w:t>年初预算数申报7.5万元，财政批复预算7.5万元。</w:t>
      </w:r>
    </w:p>
    <w:p w14:paraId="70363078" w14:textId="77777777" w:rsidR="00D01AA6" w:rsidRDefault="00000000">
      <w:pPr>
        <w:pStyle w:val="a3"/>
        <w:spacing w:before="93"/>
        <w:ind w:firstLineChars="200" w:firstLine="600"/>
        <w:rPr>
          <w:lang w:val="zh-CN"/>
        </w:rPr>
      </w:pPr>
      <w:r>
        <w:rPr>
          <w:rFonts w:hint="eastAsia"/>
          <w:lang w:val="zh-CN"/>
        </w:rPr>
        <w:t>（二）项目绩效目标。</w:t>
      </w:r>
    </w:p>
    <w:p w14:paraId="69EE595D" w14:textId="77777777" w:rsidR="00D01AA6" w:rsidRDefault="00000000">
      <w:pPr>
        <w:pStyle w:val="a3"/>
        <w:spacing w:before="93"/>
        <w:ind w:firstLineChars="200" w:firstLine="600"/>
        <w:rPr>
          <w:lang w:val="zh-CN"/>
        </w:rPr>
      </w:pPr>
      <w:r>
        <w:rPr>
          <w:rFonts w:hint="eastAsia"/>
          <w:lang w:val="zh-CN"/>
        </w:rPr>
        <w:t>1.项目主要内容</w:t>
      </w:r>
    </w:p>
    <w:p w14:paraId="77E722AB" w14:textId="77777777" w:rsidR="00D01AA6" w:rsidRDefault="00000000">
      <w:pPr>
        <w:pStyle w:val="a3"/>
        <w:spacing w:before="93"/>
        <w:ind w:firstLineChars="200" w:firstLine="600"/>
        <w:rPr>
          <w:lang w:val="zh-CN"/>
        </w:rPr>
      </w:pPr>
      <w:r>
        <w:rPr>
          <w:rFonts w:hint="eastAsia"/>
          <w:lang w:val="zh-CN"/>
        </w:rPr>
        <w:t>完成《凉山文学》彝文版2021年出版和发行</w:t>
      </w:r>
    </w:p>
    <w:p w14:paraId="7929EACF" w14:textId="77777777" w:rsidR="00D01AA6" w:rsidRDefault="00000000">
      <w:pPr>
        <w:pStyle w:val="a3"/>
        <w:spacing w:before="93"/>
        <w:ind w:firstLineChars="200" w:firstLine="600"/>
        <w:rPr>
          <w:lang w:val="zh-CN"/>
        </w:rPr>
      </w:pPr>
      <w:r>
        <w:rPr>
          <w:rFonts w:hint="eastAsia"/>
          <w:lang w:val="zh-CN"/>
        </w:rPr>
        <w:t>2.项目绩效目标</w:t>
      </w:r>
    </w:p>
    <w:p w14:paraId="58220E98" w14:textId="77777777" w:rsidR="00D01AA6" w:rsidRDefault="00000000">
      <w:pPr>
        <w:pStyle w:val="a3"/>
        <w:spacing w:before="93"/>
        <w:ind w:firstLineChars="200" w:firstLine="600"/>
        <w:rPr>
          <w:lang w:val="zh-CN"/>
        </w:rPr>
      </w:pPr>
      <w:r>
        <w:rPr>
          <w:rFonts w:hint="eastAsia"/>
          <w:lang w:val="zh-CN"/>
        </w:rPr>
        <w:t>数量指标“每年期数”的指标值为“4期”；数量指标“每本页数”的指标值为“80页”；数量指标“出版册数”的指标值为“4800册”；数量指标“每期字数”的指标值为“11万,全年44万字”；质量指标“制版印刷”的指标值为“达到制版印刷国标”；时效指标“完成时间”的指标值为“2021年12月底完成”；成本指标“每本订价”的指标值为“12元/本”；社会效益指标“社会效益”的指标值为“《凉山文学》彝文版是</w:t>
      </w:r>
      <w:r>
        <w:rPr>
          <w:rFonts w:hint="eastAsia"/>
          <w:lang w:val="zh-CN"/>
        </w:rPr>
        <w:lastRenderedPageBreak/>
        <w:t>我国唯一公开发行的彝文文学期刊，为广大彝文文学爱好者的精神家园，为繁荣语言文学、挖掘整理介绍彝民族的民间文化遗产、培养彝语言文学新人等方面做出了卓越的成绩”。</w:t>
      </w:r>
    </w:p>
    <w:p w14:paraId="2D96BFC0" w14:textId="77777777" w:rsidR="00D01AA6" w:rsidRDefault="00000000">
      <w:pPr>
        <w:pStyle w:val="a3"/>
        <w:spacing w:before="93"/>
        <w:ind w:firstLineChars="200" w:firstLine="600"/>
        <w:rPr>
          <w:lang w:val="zh-CN"/>
        </w:rPr>
      </w:pPr>
      <w:r>
        <w:rPr>
          <w:rFonts w:hint="eastAsia"/>
          <w:lang w:val="zh-CN"/>
        </w:rPr>
        <w:t>项目制定了切实可行的目标计划，量化具体、细化可行，项目实施进度计划合理，具体绩效目标见财政项目支出绩效评价指标体系。</w:t>
      </w:r>
    </w:p>
    <w:p w14:paraId="0B46FD1F" w14:textId="77777777" w:rsidR="00D01AA6" w:rsidRDefault="00000000">
      <w:pPr>
        <w:pStyle w:val="a3"/>
        <w:spacing w:before="93"/>
        <w:ind w:firstLineChars="200" w:firstLine="600"/>
        <w:rPr>
          <w:lang w:val="zh-CN"/>
        </w:rPr>
      </w:pPr>
      <w:r>
        <w:rPr>
          <w:rFonts w:hint="eastAsia"/>
          <w:lang w:val="zh-CN"/>
        </w:rPr>
        <w:t>（三）项目资金申报相符性。</w:t>
      </w:r>
    </w:p>
    <w:p w14:paraId="3D6955F8" w14:textId="77777777" w:rsidR="00D01AA6" w:rsidRDefault="00000000">
      <w:pPr>
        <w:pStyle w:val="a3"/>
        <w:spacing w:before="93"/>
        <w:ind w:firstLineChars="200" w:firstLine="600"/>
        <w:rPr>
          <w:lang w:val="zh-CN"/>
        </w:rPr>
      </w:pPr>
      <w:r>
        <w:rPr>
          <w:rFonts w:hint="eastAsia"/>
          <w:lang w:val="zh-CN"/>
        </w:rPr>
        <w:t>各项目申报内容与具体实施内容相符，申报目标合理可行。</w:t>
      </w:r>
    </w:p>
    <w:p w14:paraId="0D13DE6B" w14:textId="77777777" w:rsidR="00D01AA6" w:rsidRDefault="00000000">
      <w:pPr>
        <w:pStyle w:val="a3"/>
        <w:spacing w:before="93"/>
        <w:ind w:firstLineChars="200" w:firstLine="600"/>
        <w:rPr>
          <w:lang w:val="zh-CN"/>
        </w:rPr>
      </w:pPr>
      <w:r>
        <w:rPr>
          <w:rFonts w:hint="eastAsia"/>
          <w:lang w:val="zh-CN"/>
        </w:rPr>
        <w:t>二、项目实施及管理情况</w:t>
      </w:r>
    </w:p>
    <w:p w14:paraId="4E4861BF" w14:textId="77777777" w:rsidR="00D01AA6" w:rsidRDefault="00000000">
      <w:pPr>
        <w:pStyle w:val="a3"/>
        <w:spacing w:before="93"/>
        <w:ind w:firstLineChars="200" w:firstLine="600"/>
        <w:rPr>
          <w:lang w:val="zh-CN"/>
        </w:rPr>
      </w:pPr>
      <w:r>
        <w:rPr>
          <w:rFonts w:hint="eastAsia"/>
          <w:lang w:val="zh-CN"/>
        </w:rPr>
        <w:t>（一）资金计划、到位及使用情况。</w:t>
      </w:r>
    </w:p>
    <w:p w14:paraId="49DAC30A" w14:textId="77777777" w:rsidR="00D01AA6" w:rsidRDefault="00000000">
      <w:pPr>
        <w:pStyle w:val="a3"/>
        <w:spacing w:before="93"/>
        <w:ind w:firstLineChars="200" w:firstLine="600"/>
        <w:rPr>
          <w:lang w:val="zh-CN"/>
        </w:rPr>
      </w:pPr>
      <w:r>
        <w:rPr>
          <w:rFonts w:hint="eastAsia"/>
          <w:lang w:val="zh-CN"/>
        </w:rPr>
        <w:t>1.资金计划及到位</w:t>
      </w:r>
    </w:p>
    <w:p w14:paraId="68792AA0" w14:textId="77777777" w:rsidR="00D01AA6" w:rsidRDefault="00000000">
      <w:pPr>
        <w:pStyle w:val="a3"/>
        <w:spacing w:before="93"/>
        <w:ind w:firstLineChars="200" w:firstLine="600"/>
        <w:rPr>
          <w:lang w:val="zh-CN"/>
        </w:rPr>
      </w:pPr>
      <w:r>
        <w:rPr>
          <w:rFonts w:hint="eastAsia"/>
          <w:lang w:val="zh-CN"/>
        </w:rPr>
        <w:t>资金批复7.5万元，实际到位7.5万元，到位率为100%。</w:t>
      </w:r>
    </w:p>
    <w:p w14:paraId="0B652DB8" w14:textId="77777777" w:rsidR="00D01AA6" w:rsidRDefault="00000000">
      <w:pPr>
        <w:pStyle w:val="a3"/>
        <w:spacing w:before="93"/>
        <w:ind w:firstLineChars="200" w:firstLine="600"/>
        <w:rPr>
          <w:lang w:val="zh-CN"/>
        </w:rPr>
      </w:pPr>
      <w:r>
        <w:rPr>
          <w:rFonts w:hint="eastAsia"/>
          <w:lang w:val="zh-CN"/>
        </w:rPr>
        <w:t>2.资金使用</w:t>
      </w:r>
    </w:p>
    <w:p w14:paraId="4397AD68" w14:textId="77777777" w:rsidR="00D01AA6" w:rsidRDefault="00000000">
      <w:pPr>
        <w:pStyle w:val="a3"/>
        <w:spacing w:before="93"/>
        <w:ind w:firstLineChars="200" w:firstLine="600"/>
        <w:rPr>
          <w:lang w:val="zh-CN"/>
        </w:rPr>
      </w:pPr>
      <w:r>
        <w:rPr>
          <w:rFonts w:hint="eastAsia"/>
          <w:lang w:val="zh-CN"/>
        </w:rPr>
        <w:t>到目前为止项目共投入资金7.5万元，资金执行率为100.00%。资金开支范围、标准及支付进度,支付依据合规合法,资金支付与预算相符。</w:t>
      </w:r>
    </w:p>
    <w:p w14:paraId="2CE44626" w14:textId="77777777" w:rsidR="00D01AA6" w:rsidRDefault="00000000">
      <w:pPr>
        <w:pStyle w:val="a3"/>
        <w:spacing w:before="93"/>
        <w:ind w:firstLineChars="200" w:firstLine="600"/>
        <w:rPr>
          <w:lang w:val="zh-CN"/>
        </w:rPr>
      </w:pPr>
      <w:r>
        <w:rPr>
          <w:rFonts w:hint="eastAsia"/>
          <w:lang w:val="zh-CN"/>
        </w:rPr>
        <w:t>（二）项目财务管理情况。</w:t>
      </w:r>
    </w:p>
    <w:p w14:paraId="4C63F1B3" w14:textId="77777777" w:rsidR="00D01AA6" w:rsidRDefault="00000000">
      <w:pPr>
        <w:pStyle w:val="a3"/>
        <w:spacing w:before="93"/>
        <w:ind w:firstLineChars="200" w:firstLine="600"/>
        <w:rPr>
          <w:lang w:val="zh-CN"/>
        </w:rPr>
      </w:pPr>
      <w:r>
        <w:rPr>
          <w:rFonts w:hint="eastAsia"/>
          <w:lang w:val="zh-CN"/>
        </w:rPr>
        <w:t>项目经费严格按照财务管理制度进行管理，保证专款专用，不存在截留、滞留、挤占、挪用、套取、虚报、冒领的问题，资金发放复查由财务人员按照财务制度进行资金的审核、支付和核</w:t>
      </w:r>
      <w:r>
        <w:rPr>
          <w:rFonts w:hint="eastAsia"/>
          <w:lang w:val="zh-CN"/>
        </w:rPr>
        <w:lastRenderedPageBreak/>
        <w:t>算，所有支出均以转账方式进行，在具体支付时，具备了资金发票、合同、验收清单等相关材料，手续是完善的，不存在虚假会计凭证的情况，会计严格执行财务管理制度，财务处理及时，核算规范。</w:t>
      </w:r>
    </w:p>
    <w:p w14:paraId="313C4E53" w14:textId="77777777" w:rsidR="00D01AA6" w:rsidRDefault="00000000">
      <w:pPr>
        <w:pStyle w:val="a3"/>
        <w:spacing w:before="93"/>
        <w:ind w:firstLineChars="200" w:firstLine="600"/>
        <w:rPr>
          <w:lang w:val="zh-CN"/>
        </w:rPr>
      </w:pPr>
      <w:r>
        <w:rPr>
          <w:rFonts w:hint="eastAsia"/>
          <w:lang w:val="zh-CN"/>
        </w:rPr>
        <w:t>（三）项目组织实施情况。</w:t>
      </w:r>
    </w:p>
    <w:p w14:paraId="71958803" w14:textId="77777777" w:rsidR="00D01AA6" w:rsidRDefault="00000000">
      <w:pPr>
        <w:pStyle w:val="a3"/>
        <w:spacing w:before="93"/>
        <w:ind w:firstLineChars="200" w:firstLine="600"/>
        <w:rPr>
          <w:lang w:val="zh-CN"/>
        </w:rPr>
      </w:pPr>
      <w:r>
        <w:rPr>
          <w:rFonts w:hint="eastAsia"/>
          <w:lang w:val="zh-CN"/>
        </w:rPr>
        <w:t>1.机构设置。</w:t>
      </w:r>
    </w:p>
    <w:p w14:paraId="108FCE55" w14:textId="77777777" w:rsidR="00D01AA6" w:rsidRDefault="00000000">
      <w:pPr>
        <w:pStyle w:val="a3"/>
        <w:spacing w:before="93"/>
        <w:ind w:firstLineChars="200" w:firstLine="600"/>
        <w:rPr>
          <w:lang w:val="zh-CN"/>
        </w:rPr>
      </w:pPr>
      <w:r>
        <w:rPr>
          <w:rFonts w:hint="eastAsia"/>
          <w:lang w:val="zh-CN"/>
        </w:rPr>
        <w:t>财政资金主管部门为州文联，负责安排预算资金，预算批复后拨付资金，负责对资金使用情况进行监督检查。</w:t>
      </w:r>
    </w:p>
    <w:p w14:paraId="77EB5470" w14:textId="77777777" w:rsidR="00D01AA6" w:rsidRDefault="00000000">
      <w:pPr>
        <w:pStyle w:val="a3"/>
        <w:spacing w:before="93"/>
        <w:ind w:firstLineChars="200" w:firstLine="600"/>
        <w:rPr>
          <w:lang w:val="zh-CN"/>
        </w:rPr>
      </w:pPr>
      <w:r>
        <w:rPr>
          <w:rFonts w:hint="eastAsia"/>
          <w:lang w:val="zh-CN"/>
        </w:rPr>
        <w:t>项目的执行单位为州文联，主要负责项目的具体实施、人员安排、风险管控、预算执行等，负责对按政府采购方式确定服务主体，并对项目服务单位进行监管。</w:t>
      </w:r>
    </w:p>
    <w:p w14:paraId="1A134A6B" w14:textId="77777777" w:rsidR="00D01AA6" w:rsidRDefault="00000000">
      <w:pPr>
        <w:pStyle w:val="a3"/>
        <w:spacing w:before="93"/>
        <w:ind w:firstLineChars="200" w:firstLine="600"/>
        <w:rPr>
          <w:lang w:val="zh-CN"/>
        </w:rPr>
      </w:pPr>
      <w:r>
        <w:rPr>
          <w:rFonts w:hint="eastAsia"/>
          <w:lang w:val="zh-CN"/>
        </w:rPr>
        <w:t>项目的服务单位为凉山日报印刷厂，通过招标采购而中标的单位，严格按照合同约定承担履约，主要是按照合同约定，按时按量提供货物或服务，并且在质保期内提供维修服务。</w:t>
      </w:r>
    </w:p>
    <w:p w14:paraId="711ABCEA" w14:textId="77777777" w:rsidR="00D01AA6" w:rsidRDefault="00000000">
      <w:pPr>
        <w:pStyle w:val="a3"/>
        <w:spacing w:before="93"/>
        <w:ind w:firstLineChars="200" w:firstLine="600"/>
        <w:rPr>
          <w:lang w:val="zh-CN"/>
        </w:rPr>
      </w:pPr>
      <w:r>
        <w:rPr>
          <w:rFonts w:hint="eastAsia"/>
          <w:lang w:val="zh-CN"/>
        </w:rPr>
        <w:t>2.项目监管。</w:t>
      </w:r>
    </w:p>
    <w:p w14:paraId="29CE593E" w14:textId="77777777" w:rsidR="00D01AA6" w:rsidRDefault="00000000">
      <w:pPr>
        <w:pStyle w:val="a3"/>
        <w:spacing w:before="93"/>
        <w:ind w:firstLineChars="200" w:firstLine="600"/>
        <w:rPr>
          <w:lang w:val="zh-CN"/>
        </w:rPr>
      </w:pPr>
      <w:r>
        <w:rPr>
          <w:rFonts w:hint="eastAsia"/>
          <w:lang w:val="zh-CN"/>
        </w:rPr>
        <w:t>项目实施单位严格按照相关业务管理办法进行项目实施管理，按照项目计划进度实施，专项资金做到了专款专用，经费支出符合规范。</w:t>
      </w:r>
    </w:p>
    <w:p w14:paraId="6C42594A" w14:textId="77777777" w:rsidR="00D01AA6" w:rsidRDefault="00000000">
      <w:pPr>
        <w:pStyle w:val="a3"/>
        <w:spacing w:before="93"/>
        <w:ind w:firstLineChars="200" w:firstLine="600"/>
        <w:rPr>
          <w:lang w:val="zh-CN"/>
        </w:rPr>
      </w:pPr>
      <w:r>
        <w:rPr>
          <w:rFonts w:hint="eastAsia"/>
          <w:lang w:val="zh-CN"/>
        </w:rPr>
        <w:t>3.项目执行制度。</w:t>
      </w:r>
    </w:p>
    <w:p w14:paraId="48686DCF" w14:textId="77777777" w:rsidR="00D01AA6" w:rsidRDefault="00000000">
      <w:pPr>
        <w:pStyle w:val="a3"/>
        <w:spacing w:before="93"/>
        <w:ind w:firstLineChars="200" w:firstLine="600"/>
        <w:rPr>
          <w:lang w:val="zh-CN"/>
        </w:rPr>
      </w:pPr>
      <w:r>
        <w:rPr>
          <w:rFonts w:hint="eastAsia"/>
          <w:lang w:val="zh-CN"/>
        </w:rPr>
        <w:t>为加强项目管理，确保项目落到实处，充分发挥专项资金的引导作用，主要通过对项目实施情况进行不定期进度检查等现场</w:t>
      </w:r>
      <w:r>
        <w:rPr>
          <w:rFonts w:hint="eastAsia"/>
          <w:lang w:val="zh-CN"/>
        </w:rPr>
        <w:lastRenderedPageBreak/>
        <w:t>监管手段，监管各项目工作开展情况，同时对项目资金到位情况和使用情况进行督促检查，对发现的违规现象及时纠正，确保项目资金及时到位，确保项目承担单位按照资金管理办法支出范围进行支出，保证了项目承担单位做到专款专用。在规范管理监督下，项目承担单位建立了规范的财务制度，项目按照计划规范实施，保障了项目的顺利实施。</w:t>
      </w:r>
    </w:p>
    <w:p w14:paraId="694976D6" w14:textId="77777777" w:rsidR="00D01AA6" w:rsidRDefault="00000000">
      <w:pPr>
        <w:pStyle w:val="a3"/>
        <w:spacing w:before="93"/>
        <w:ind w:firstLineChars="200" w:firstLine="600"/>
        <w:rPr>
          <w:lang w:val="zh-CN"/>
        </w:rPr>
      </w:pPr>
      <w:r>
        <w:rPr>
          <w:rFonts w:hint="eastAsia"/>
          <w:lang w:val="zh-CN"/>
        </w:rPr>
        <w:t>三、项目绩效情况</w:t>
      </w:r>
    </w:p>
    <w:p w14:paraId="4260EB60" w14:textId="77777777" w:rsidR="00D01AA6" w:rsidRDefault="00000000">
      <w:pPr>
        <w:pStyle w:val="a3"/>
        <w:spacing w:before="93"/>
        <w:ind w:firstLineChars="200" w:firstLine="600"/>
        <w:rPr>
          <w:lang w:val="zh-CN"/>
        </w:rPr>
      </w:pPr>
      <w:r>
        <w:rPr>
          <w:rFonts w:hint="eastAsia"/>
          <w:lang w:val="zh-CN"/>
        </w:rPr>
        <w:t>（一）项目完成情况。</w:t>
      </w:r>
    </w:p>
    <w:p w14:paraId="1B32907A" w14:textId="77777777" w:rsidR="00D01AA6" w:rsidRDefault="00000000">
      <w:pPr>
        <w:pStyle w:val="a3"/>
        <w:spacing w:before="93"/>
        <w:ind w:firstLineChars="200" w:firstLine="600"/>
        <w:rPr>
          <w:lang w:val="zh-CN"/>
        </w:rPr>
      </w:pPr>
      <w:r>
        <w:rPr>
          <w:rFonts w:hint="eastAsia"/>
          <w:lang w:val="zh-CN"/>
        </w:rPr>
        <w:t>本项目共7条产出指标，其中：数量指标“每年期数”的年度指标值为“4期”，实际完成值为“4期”；数量指标“每本页数”的年度指标值为“80页”，实际完成值为“80页”；数量指标“出版册数”的年度指标值为“4800册”，实际完成值为“5000册”；数量指标“每期字数”的年度指标值为“11万,全年44万字”，实际完成值为“全年46万字”；质量指标“制版印刷”的年度指标值为“达到制版印刷国标”，实际完成值为“达到制版印刷国标”；时效指标“完成时间”的年度指标值为“2021年12月底完成”，实际完成值为“2021年12月底完成”；成本指标“每本订价”的年度指标值为“12元/本”，实际完成值为“12元/本”。目前项目已完成验收，成本控制在项目计划内，完成了项目计划完成目标。</w:t>
      </w:r>
    </w:p>
    <w:p w14:paraId="7DDD608C" w14:textId="77777777" w:rsidR="00D01AA6" w:rsidRDefault="00000000">
      <w:pPr>
        <w:pStyle w:val="a3"/>
        <w:spacing w:before="93"/>
        <w:ind w:firstLineChars="200" w:firstLine="600"/>
        <w:rPr>
          <w:lang w:val="zh-CN"/>
        </w:rPr>
      </w:pPr>
      <w:r>
        <w:rPr>
          <w:rFonts w:hint="eastAsia"/>
          <w:lang w:val="zh-CN"/>
        </w:rPr>
        <w:t>（二）项目效益情况。</w:t>
      </w:r>
    </w:p>
    <w:p w14:paraId="30CDDEF6" w14:textId="77777777" w:rsidR="00D01AA6" w:rsidRDefault="00000000">
      <w:pPr>
        <w:pStyle w:val="a3"/>
        <w:spacing w:before="93"/>
        <w:ind w:firstLineChars="200" w:firstLine="600"/>
        <w:rPr>
          <w:lang w:val="zh-CN"/>
        </w:rPr>
      </w:pPr>
      <w:r>
        <w:rPr>
          <w:rFonts w:hint="eastAsia"/>
          <w:lang w:val="zh-CN"/>
        </w:rPr>
        <w:lastRenderedPageBreak/>
        <w:t>本项目共1条效益指标，其中：社会效益指标“社会效益”的年度指标值为“《凉山文学》彝文版是我国唯一公开发行的彝文文学期刊，为广大彝文文学爱好者的精神家园，为繁荣语言文学、挖掘整理介绍彝民族的民间文化遗产、培养彝语言文学新人等方面做出了卓越的成绩”，实际完成值为“《凉山文学》彝文版是我国唯一公开发行的彝文文学期刊，为广大彝文文学爱好者的精神家园，为繁荣语言文学、挖掘整理介绍彝民族的民间文化遗产、培养彝语言文学新人等方面做出了卓越的成绩”。</w:t>
      </w:r>
    </w:p>
    <w:p w14:paraId="64EF3FD5" w14:textId="77777777" w:rsidR="00D01AA6" w:rsidRDefault="00000000">
      <w:pPr>
        <w:pStyle w:val="a3"/>
        <w:spacing w:before="93"/>
        <w:ind w:firstLineChars="200" w:firstLine="600"/>
        <w:rPr>
          <w:lang w:val="zh-CN"/>
        </w:rPr>
      </w:pPr>
      <w:r>
        <w:rPr>
          <w:rFonts w:hint="eastAsia"/>
          <w:lang w:val="zh-CN"/>
        </w:rPr>
        <w:t>四、问题及建议</w:t>
      </w:r>
    </w:p>
    <w:p w14:paraId="4970BE9F" w14:textId="77777777" w:rsidR="00D01AA6" w:rsidRDefault="00000000">
      <w:pPr>
        <w:pStyle w:val="a3"/>
        <w:spacing w:before="93"/>
        <w:ind w:firstLineChars="200" w:firstLine="600"/>
        <w:rPr>
          <w:lang w:val="zh-CN"/>
        </w:rPr>
      </w:pPr>
      <w:r>
        <w:rPr>
          <w:rFonts w:hint="eastAsia"/>
          <w:lang w:val="zh-CN"/>
        </w:rPr>
        <w:t>（一）存在的问题。</w:t>
      </w:r>
    </w:p>
    <w:p w14:paraId="054DB75A" w14:textId="77777777" w:rsidR="00D01AA6" w:rsidRDefault="00000000">
      <w:pPr>
        <w:pStyle w:val="a3"/>
        <w:spacing w:before="93"/>
        <w:ind w:firstLineChars="200" w:firstLine="600"/>
        <w:rPr>
          <w:lang w:val="zh-CN"/>
        </w:rPr>
      </w:pPr>
      <w:r>
        <w:rPr>
          <w:rFonts w:hint="eastAsia"/>
          <w:lang w:val="zh-CN"/>
        </w:rPr>
        <w:t>无</w:t>
      </w:r>
    </w:p>
    <w:p w14:paraId="117FA627" w14:textId="77777777" w:rsidR="00D01AA6" w:rsidRDefault="00000000">
      <w:pPr>
        <w:pStyle w:val="a3"/>
        <w:spacing w:before="93"/>
        <w:ind w:firstLineChars="200" w:firstLine="600"/>
        <w:rPr>
          <w:lang w:val="zh-CN"/>
        </w:rPr>
      </w:pPr>
      <w:r>
        <w:rPr>
          <w:rFonts w:hint="eastAsia"/>
          <w:lang w:val="zh-CN"/>
        </w:rPr>
        <w:t>（二）相关建议。</w:t>
      </w:r>
    </w:p>
    <w:p w14:paraId="6915F152" w14:textId="77777777" w:rsidR="00D01AA6" w:rsidRDefault="00000000">
      <w:pPr>
        <w:pStyle w:val="a3"/>
        <w:spacing w:before="93"/>
        <w:ind w:firstLineChars="200" w:firstLine="600"/>
        <w:rPr>
          <w:lang w:val="zh-CN"/>
        </w:rPr>
      </w:pPr>
      <w:r>
        <w:rPr>
          <w:rFonts w:hint="eastAsia"/>
          <w:lang w:val="zh-CN"/>
        </w:rPr>
        <w:t xml:space="preserve">    无</w:t>
      </w:r>
    </w:p>
    <w:p w14:paraId="09D7B7C0" w14:textId="77777777" w:rsidR="00D01AA6" w:rsidRDefault="00D01AA6">
      <w:pPr>
        <w:pStyle w:val="a3"/>
        <w:spacing w:before="93"/>
        <w:rPr>
          <w:lang w:val="zh-CN"/>
        </w:rPr>
      </w:pPr>
    </w:p>
    <w:p w14:paraId="33B0F5E0" w14:textId="77777777" w:rsidR="00D01AA6" w:rsidRDefault="00D01AA6">
      <w:pPr>
        <w:pStyle w:val="a3"/>
        <w:spacing w:before="93"/>
        <w:rPr>
          <w:lang w:val="zh-CN"/>
        </w:rPr>
      </w:pPr>
    </w:p>
    <w:p w14:paraId="26D563E6" w14:textId="77777777" w:rsidR="00D01AA6" w:rsidRDefault="00D01AA6">
      <w:pPr>
        <w:pStyle w:val="a3"/>
        <w:spacing w:before="93"/>
        <w:rPr>
          <w:lang w:val="zh-CN"/>
        </w:rPr>
      </w:pPr>
    </w:p>
    <w:p w14:paraId="63663A01" w14:textId="77777777" w:rsidR="00D01AA6" w:rsidRDefault="00D01AA6">
      <w:pPr>
        <w:pStyle w:val="a3"/>
        <w:spacing w:before="93"/>
        <w:rPr>
          <w:lang w:val="zh-CN"/>
        </w:rPr>
      </w:pPr>
    </w:p>
    <w:p w14:paraId="63CC3531" w14:textId="77777777" w:rsidR="00D01AA6" w:rsidRDefault="00D01AA6">
      <w:pPr>
        <w:pStyle w:val="a3"/>
        <w:spacing w:before="93"/>
        <w:rPr>
          <w:lang w:val="zh-CN"/>
        </w:rPr>
      </w:pPr>
    </w:p>
    <w:p w14:paraId="2C218A2B" w14:textId="77777777" w:rsidR="00D01AA6" w:rsidRDefault="00D01AA6">
      <w:pPr>
        <w:pStyle w:val="a3"/>
        <w:spacing w:before="93"/>
        <w:rPr>
          <w:lang w:val="zh-CN"/>
        </w:rPr>
      </w:pPr>
    </w:p>
    <w:p w14:paraId="1DBE66A5" w14:textId="77777777" w:rsidR="00D01AA6" w:rsidRDefault="00D01AA6">
      <w:pPr>
        <w:pStyle w:val="a3"/>
        <w:spacing w:before="93"/>
        <w:rPr>
          <w:lang w:val="zh-CN"/>
        </w:rPr>
      </w:pPr>
    </w:p>
    <w:p w14:paraId="2C74854F" w14:textId="77777777" w:rsidR="00D01AA6" w:rsidRDefault="00D01AA6">
      <w:pPr>
        <w:pStyle w:val="a3"/>
        <w:spacing w:before="93"/>
        <w:rPr>
          <w:lang w:val="zh-CN"/>
        </w:rPr>
      </w:pPr>
    </w:p>
    <w:p w14:paraId="0D2AF87A" w14:textId="77777777" w:rsidR="00D01AA6" w:rsidRDefault="00D01AA6">
      <w:pPr>
        <w:pStyle w:val="a3"/>
        <w:spacing w:before="93"/>
        <w:rPr>
          <w:lang w:val="zh-CN"/>
        </w:rPr>
      </w:pPr>
    </w:p>
    <w:p w14:paraId="448B0C74" w14:textId="77777777" w:rsidR="00D01AA6" w:rsidRDefault="00D01AA6">
      <w:pPr>
        <w:pStyle w:val="a3"/>
        <w:spacing w:before="93"/>
        <w:rPr>
          <w:lang w:val="zh-CN"/>
        </w:rPr>
      </w:pPr>
    </w:p>
    <w:p w14:paraId="25699775" w14:textId="77777777" w:rsidR="00D01AA6" w:rsidRDefault="00D01AA6">
      <w:pPr>
        <w:pStyle w:val="a3"/>
        <w:spacing w:before="93"/>
        <w:rPr>
          <w:lang w:val="zh-CN"/>
        </w:rPr>
      </w:pPr>
    </w:p>
    <w:p w14:paraId="5EE42AC2" w14:textId="77777777" w:rsidR="00D01AA6" w:rsidRDefault="00000000">
      <w:pPr>
        <w:pStyle w:val="a3"/>
        <w:spacing w:before="93"/>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2021年新媒体运营推广项目绩效自评报告</w:t>
      </w:r>
    </w:p>
    <w:p w14:paraId="72494AB6" w14:textId="77777777" w:rsidR="00D01AA6" w:rsidRDefault="00D01AA6">
      <w:pPr>
        <w:pStyle w:val="a3"/>
        <w:spacing w:before="93"/>
        <w:rPr>
          <w:lang w:val="zh-CN"/>
        </w:rPr>
      </w:pPr>
    </w:p>
    <w:p w14:paraId="00C41A16" w14:textId="77777777" w:rsidR="00D01AA6" w:rsidRDefault="00000000">
      <w:pPr>
        <w:pStyle w:val="a3"/>
        <w:spacing w:before="93"/>
        <w:rPr>
          <w:lang w:val="zh-CN"/>
        </w:rPr>
      </w:pPr>
      <w:r>
        <w:rPr>
          <w:rFonts w:hint="eastAsia"/>
          <w:lang w:val="zh-CN"/>
        </w:rPr>
        <w:t>一、项目概况</w:t>
      </w:r>
    </w:p>
    <w:p w14:paraId="7E297C1B" w14:textId="77777777" w:rsidR="00D01AA6" w:rsidRDefault="00000000">
      <w:pPr>
        <w:pStyle w:val="a3"/>
        <w:spacing w:before="93"/>
        <w:rPr>
          <w:lang w:val="zh-CN"/>
        </w:rPr>
      </w:pPr>
      <w:r>
        <w:rPr>
          <w:rFonts w:hint="eastAsia"/>
          <w:lang w:val="zh-CN"/>
        </w:rPr>
        <w:t>（一）项目资金申报及批复情况。</w:t>
      </w:r>
    </w:p>
    <w:p w14:paraId="188B07E8" w14:textId="77777777" w:rsidR="00D01AA6" w:rsidRDefault="00000000">
      <w:pPr>
        <w:pStyle w:val="a3"/>
        <w:spacing w:before="93"/>
        <w:rPr>
          <w:lang w:val="zh-CN"/>
        </w:rPr>
      </w:pPr>
      <w:r>
        <w:rPr>
          <w:rFonts w:hint="eastAsia"/>
        </w:rPr>
        <w:t xml:space="preserve">    </w:t>
      </w:r>
      <w:r>
        <w:rPr>
          <w:rFonts w:hint="eastAsia"/>
          <w:lang w:val="zh-CN"/>
        </w:rPr>
        <w:t>年初预算数申报20.3万元，财政批复预算20.3万元。</w:t>
      </w:r>
    </w:p>
    <w:p w14:paraId="28BB041C" w14:textId="77777777" w:rsidR="00D01AA6" w:rsidRDefault="00000000">
      <w:pPr>
        <w:pStyle w:val="a3"/>
        <w:spacing w:before="93"/>
        <w:rPr>
          <w:lang w:val="zh-CN"/>
        </w:rPr>
      </w:pPr>
      <w:r>
        <w:rPr>
          <w:rFonts w:hint="eastAsia"/>
          <w:lang w:val="zh-CN"/>
        </w:rPr>
        <w:t>（二）项目绩效目标。</w:t>
      </w:r>
    </w:p>
    <w:p w14:paraId="29995BD2" w14:textId="77777777" w:rsidR="00D01AA6" w:rsidRDefault="00000000">
      <w:pPr>
        <w:pStyle w:val="a3"/>
        <w:spacing w:before="93"/>
        <w:rPr>
          <w:lang w:val="zh-CN"/>
        </w:rPr>
      </w:pPr>
      <w:r>
        <w:rPr>
          <w:rFonts w:hint="eastAsia"/>
          <w:lang w:val="zh-CN"/>
        </w:rPr>
        <w:t>1.项目主要内容</w:t>
      </w:r>
    </w:p>
    <w:p w14:paraId="7B646339" w14:textId="77777777" w:rsidR="00D01AA6" w:rsidRDefault="00000000">
      <w:pPr>
        <w:pStyle w:val="a3"/>
        <w:spacing w:before="93"/>
        <w:rPr>
          <w:lang w:val="zh-CN"/>
        </w:rPr>
      </w:pPr>
      <w:r>
        <w:rPr>
          <w:rFonts w:hint="eastAsia"/>
        </w:rPr>
        <w:t xml:space="preserve">    </w:t>
      </w:r>
      <w:r>
        <w:rPr>
          <w:rFonts w:hint="eastAsia"/>
          <w:lang w:val="zh-CN"/>
        </w:rPr>
        <w:t>完成微信公众号、网络平台等新媒体宣传推广</w:t>
      </w:r>
    </w:p>
    <w:p w14:paraId="553F7D0A" w14:textId="77777777" w:rsidR="00D01AA6" w:rsidRDefault="00000000">
      <w:pPr>
        <w:pStyle w:val="a3"/>
        <w:spacing w:before="93"/>
        <w:rPr>
          <w:lang w:val="zh-CN"/>
        </w:rPr>
      </w:pPr>
      <w:r>
        <w:rPr>
          <w:rFonts w:hint="eastAsia"/>
          <w:lang w:val="zh-CN"/>
        </w:rPr>
        <w:t>2.项目绩效目标</w:t>
      </w:r>
    </w:p>
    <w:p w14:paraId="7FACC1DE" w14:textId="77777777" w:rsidR="00D01AA6" w:rsidRDefault="00000000">
      <w:pPr>
        <w:pStyle w:val="a3"/>
        <w:spacing w:before="93"/>
        <w:rPr>
          <w:lang w:val="zh-CN"/>
        </w:rPr>
      </w:pPr>
      <w:r>
        <w:rPr>
          <w:rFonts w:hint="eastAsia"/>
        </w:rPr>
        <w:t xml:space="preserve">    </w:t>
      </w:r>
      <w:r>
        <w:rPr>
          <w:rFonts w:hint="eastAsia"/>
          <w:lang w:val="zh-CN"/>
        </w:rPr>
        <w:t>数量指标“重大活动直播次数”的指标值为“全年重大活动直播不低于1个，单次观看量不低于2万人次”；数量指标“每年完成天数”的指标值为“全年编辑新媒体稿件不低于120期（天）”；数量指标“大型活动报道次数”的指标值为“全年大型策划报道不低于4个”；数量指标“全年关注度”的指标值为“2021年关注度突破12000人次”；数量指标“全年总阅读量”的指标值为“120万/人次”；数量指标“每月完成天数”的指</w:t>
      </w:r>
      <w:r>
        <w:rPr>
          <w:rFonts w:hint="eastAsia"/>
          <w:lang w:val="zh-CN"/>
        </w:rPr>
        <w:lastRenderedPageBreak/>
        <w:t>标值为“每月稿件不低于10期（天）”；时效指标“完成时间”的指标值为“2020年12月底完成”；社会效益指标“凉山文艺微信公众号”的指标值为“围绕州委、州政府中心工作做好宣传报道，依托新媒体技术在脱贫攻坚、移风易俗邓方面开展多种形式的宣传报道，做好州文联重点项目、重点活动”；服务对象满意度指标“公众满意度”的指标值为“公众满意度达95%以上”。</w:t>
      </w:r>
    </w:p>
    <w:p w14:paraId="21966EAA" w14:textId="77777777" w:rsidR="00D01AA6" w:rsidRDefault="00000000">
      <w:pPr>
        <w:pStyle w:val="a3"/>
        <w:spacing w:before="93"/>
        <w:rPr>
          <w:lang w:val="zh-CN"/>
        </w:rPr>
      </w:pPr>
      <w:r>
        <w:rPr>
          <w:rFonts w:hint="eastAsia"/>
          <w:lang w:val="zh-CN"/>
        </w:rPr>
        <w:t>项目制定了切实可行的目标计划，量化具体、细化可行，项目实施进度计划合理，具体绩效目标见财政项目支出绩效评价指标体系。</w:t>
      </w:r>
    </w:p>
    <w:p w14:paraId="232043E8" w14:textId="77777777" w:rsidR="00D01AA6" w:rsidRDefault="00000000">
      <w:pPr>
        <w:pStyle w:val="a3"/>
        <w:spacing w:before="93"/>
        <w:rPr>
          <w:lang w:val="zh-CN"/>
        </w:rPr>
      </w:pPr>
      <w:r>
        <w:rPr>
          <w:rFonts w:hint="eastAsia"/>
          <w:lang w:val="zh-CN"/>
        </w:rPr>
        <w:t>（三）项目资金申报相符性。</w:t>
      </w:r>
    </w:p>
    <w:p w14:paraId="27D9CE16" w14:textId="77777777" w:rsidR="00D01AA6" w:rsidRDefault="00000000">
      <w:pPr>
        <w:pStyle w:val="a3"/>
        <w:spacing w:before="93"/>
        <w:rPr>
          <w:lang w:val="zh-CN"/>
        </w:rPr>
      </w:pPr>
      <w:r>
        <w:rPr>
          <w:rFonts w:hint="eastAsia"/>
        </w:rPr>
        <w:t xml:space="preserve">    </w:t>
      </w:r>
      <w:r>
        <w:rPr>
          <w:rFonts w:hint="eastAsia"/>
          <w:lang w:val="zh-CN"/>
        </w:rPr>
        <w:t>各项目申报内容与具体实施内容相符，申报目标合理可行。</w:t>
      </w:r>
    </w:p>
    <w:p w14:paraId="69C3DB4F" w14:textId="77777777" w:rsidR="00D01AA6" w:rsidRDefault="00000000">
      <w:pPr>
        <w:pStyle w:val="a3"/>
        <w:spacing w:before="93"/>
        <w:rPr>
          <w:lang w:val="zh-CN"/>
        </w:rPr>
      </w:pPr>
      <w:r>
        <w:rPr>
          <w:rFonts w:hint="eastAsia"/>
          <w:lang w:val="zh-CN"/>
        </w:rPr>
        <w:t>二、项目实施及管理情况</w:t>
      </w:r>
    </w:p>
    <w:p w14:paraId="19C1642E" w14:textId="77777777" w:rsidR="00D01AA6" w:rsidRDefault="00000000">
      <w:pPr>
        <w:pStyle w:val="a3"/>
        <w:spacing w:before="93"/>
        <w:rPr>
          <w:lang w:val="zh-CN"/>
        </w:rPr>
      </w:pPr>
      <w:r>
        <w:rPr>
          <w:rFonts w:hint="eastAsia"/>
          <w:lang w:val="zh-CN"/>
        </w:rPr>
        <w:t>（一）资金计划、到位及使用情况。</w:t>
      </w:r>
    </w:p>
    <w:p w14:paraId="2B2D0391" w14:textId="77777777" w:rsidR="00D01AA6" w:rsidRDefault="00000000">
      <w:pPr>
        <w:pStyle w:val="a3"/>
        <w:spacing w:before="93"/>
        <w:rPr>
          <w:lang w:val="zh-CN"/>
        </w:rPr>
      </w:pPr>
      <w:r>
        <w:rPr>
          <w:rFonts w:hint="eastAsia"/>
        </w:rPr>
        <w:t xml:space="preserve">    </w:t>
      </w:r>
      <w:r>
        <w:rPr>
          <w:rFonts w:hint="eastAsia"/>
          <w:lang w:val="zh-CN"/>
        </w:rPr>
        <w:t>1.资金计划及到位</w:t>
      </w:r>
    </w:p>
    <w:p w14:paraId="78EE96C2" w14:textId="77777777" w:rsidR="00D01AA6" w:rsidRDefault="00000000">
      <w:pPr>
        <w:pStyle w:val="a3"/>
        <w:spacing w:before="93"/>
        <w:rPr>
          <w:lang w:val="zh-CN"/>
        </w:rPr>
      </w:pPr>
      <w:r>
        <w:rPr>
          <w:rFonts w:hint="eastAsia"/>
        </w:rPr>
        <w:t xml:space="preserve">    </w:t>
      </w:r>
      <w:r>
        <w:rPr>
          <w:rFonts w:hint="eastAsia"/>
          <w:lang w:val="zh-CN"/>
        </w:rPr>
        <w:t>资金批复20.3万元，实际到位20.3万元，到位率为100%。</w:t>
      </w:r>
    </w:p>
    <w:p w14:paraId="741A7C72" w14:textId="77777777" w:rsidR="00D01AA6" w:rsidRDefault="00000000">
      <w:pPr>
        <w:pStyle w:val="a3"/>
        <w:spacing w:before="93"/>
        <w:rPr>
          <w:lang w:val="zh-CN"/>
        </w:rPr>
      </w:pPr>
      <w:r>
        <w:rPr>
          <w:rFonts w:hint="eastAsia"/>
        </w:rPr>
        <w:t xml:space="preserve">    </w:t>
      </w:r>
      <w:r>
        <w:rPr>
          <w:rFonts w:hint="eastAsia"/>
          <w:lang w:val="zh-CN"/>
        </w:rPr>
        <w:t>2.资金使用</w:t>
      </w:r>
    </w:p>
    <w:p w14:paraId="372517E0" w14:textId="77777777" w:rsidR="00D01AA6" w:rsidRDefault="00000000">
      <w:pPr>
        <w:pStyle w:val="a3"/>
        <w:spacing w:before="93"/>
        <w:rPr>
          <w:lang w:val="zh-CN"/>
        </w:rPr>
      </w:pPr>
      <w:r>
        <w:rPr>
          <w:rFonts w:hint="eastAsia"/>
        </w:rPr>
        <w:t xml:space="preserve">    </w:t>
      </w:r>
      <w:r>
        <w:rPr>
          <w:rFonts w:hint="eastAsia"/>
          <w:lang w:val="zh-CN"/>
        </w:rPr>
        <w:t>到目前为止项目共投入资金12.3万元，资金执行率为60.59%。资金开支范围、标准及支付进度,支付依据合规合法,资金支付与预算相符。</w:t>
      </w:r>
    </w:p>
    <w:p w14:paraId="2511CCF6" w14:textId="77777777" w:rsidR="00D01AA6" w:rsidRDefault="00000000">
      <w:pPr>
        <w:pStyle w:val="a3"/>
        <w:spacing w:before="93"/>
        <w:rPr>
          <w:lang w:val="zh-CN"/>
        </w:rPr>
      </w:pPr>
      <w:r>
        <w:rPr>
          <w:rFonts w:hint="eastAsia"/>
          <w:lang w:val="zh-CN"/>
        </w:rPr>
        <w:lastRenderedPageBreak/>
        <w:t>（二）项目财务管理情况。</w:t>
      </w:r>
    </w:p>
    <w:p w14:paraId="36F0B204" w14:textId="77777777" w:rsidR="00D01AA6" w:rsidRDefault="00000000">
      <w:pPr>
        <w:pStyle w:val="a3"/>
        <w:spacing w:before="93"/>
        <w:rPr>
          <w:lang w:val="zh-CN"/>
        </w:rPr>
      </w:pPr>
      <w:r>
        <w:rPr>
          <w:rFonts w:hint="eastAsia"/>
        </w:rPr>
        <w:t xml:space="preserve">    </w:t>
      </w:r>
      <w:r>
        <w:rPr>
          <w:rFonts w:hint="eastAsia"/>
          <w:lang w:val="zh-CN"/>
        </w:rPr>
        <w:t>项目经费严格按照财务管理制度进行管理，保证专款专用，不存在截留、滞留、挤占、挪用、套取、虚报、冒领的问题，资金发放复查由财务人员按照财务制度进行资金的审核、支付和核算，所有支出均以转账方式进行，在具体支付时，具备了资金发票、合同、验收清单等相关材料，手续是完善的，不存在虚假会计凭证的情况，会计严格执行财务管理制度，财务处理及时，核算规范。</w:t>
      </w:r>
    </w:p>
    <w:p w14:paraId="4AEA0337" w14:textId="77777777" w:rsidR="00D01AA6" w:rsidRDefault="00000000">
      <w:pPr>
        <w:pStyle w:val="a3"/>
        <w:spacing w:before="93"/>
        <w:rPr>
          <w:lang w:val="zh-CN"/>
        </w:rPr>
      </w:pPr>
      <w:r>
        <w:rPr>
          <w:rFonts w:hint="eastAsia"/>
          <w:lang w:val="zh-CN"/>
        </w:rPr>
        <w:t>（三）项目组织实施情况。</w:t>
      </w:r>
    </w:p>
    <w:p w14:paraId="0E8A44ED" w14:textId="77777777" w:rsidR="00D01AA6" w:rsidRDefault="00000000">
      <w:pPr>
        <w:pStyle w:val="a3"/>
        <w:spacing w:before="93"/>
        <w:rPr>
          <w:lang w:val="zh-CN"/>
        </w:rPr>
      </w:pPr>
      <w:r>
        <w:rPr>
          <w:rFonts w:hint="eastAsia"/>
        </w:rPr>
        <w:t xml:space="preserve">    </w:t>
      </w:r>
      <w:r>
        <w:rPr>
          <w:rFonts w:hint="eastAsia"/>
          <w:lang w:val="zh-CN"/>
        </w:rPr>
        <w:t>1.机构设置。</w:t>
      </w:r>
    </w:p>
    <w:p w14:paraId="6982F9CF" w14:textId="77777777" w:rsidR="00D01AA6" w:rsidRDefault="00000000">
      <w:pPr>
        <w:pStyle w:val="a3"/>
        <w:spacing w:before="93"/>
        <w:rPr>
          <w:lang w:val="zh-CN"/>
        </w:rPr>
      </w:pPr>
      <w:r>
        <w:rPr>
          <w:rFonts w:hint="eastAsia"/>
        </w:rPr>
        <w:t xml:space="preserve">    </w:t>
      </w:r>
      <w:r>
        <w:rPr>
          <w:rFonts w:hint="eastAsia"/>
          <w:lang w:val="zh-CN"/>
        </w:rPr>
        <w:t>财政资金主管部门为州文联，负责安排预算资金，预算批复后拨付资金，负责对资金使用情况进行监督检查。</w:t>
      </w:r>
    </w:p>
    <w:p w14:paraId="60B65F80" w14:textId="77777777" w:rsidR="00D01AA6" w:rsidRDefault="00000000">
      <w:pPr>
        <w:pStyle w:val="a3"/>
        <w:spacing w:before="93"/>
        <w:rPr>
          <w:lang w:val="zh-CN"/>
        </w:rPr>
      </w:pPr>
      <w:r>
        <w:rPr>
          <w:rFonts w:hint="eastAsia"/>
        </w:rPr>
        <w:t xml:space="preserve">    </w:t>
      </w:r>
      <w:r>
        <w:rPr>
          <w:rFonts w:hint="eastAsia"/>
          <w:lang w:val="zh-CN"/>
        </w:rPr>
        <w:t>项目的执行单位为州文联，主要负责项目的具体实施、人员安排、风险管控、预算执行等，负责对按政府采购方式确定服务主体，并对项目服务单位进行监管。</w:t>
      </w:r>
    </w:p>
    <w:p w14:paraId="4F7AA184" w14:textId="77777777" w:rsidR="00D01AA6" w:rsidRDefault="00000000">
      <w:pPr>
        <w:pStyle w:val="a3"/>
        <w:spacing w:before="93"/>
        <w:rPr>
          <w:lang w:val="zh-CN"/>
        </w:rPr>
      </w:pPr>
      <w:r>
        <w:rPr>
          <w:rFonts w:hint="eastAsia"/>
        </w:rPr>
        <w:t xml:space="preserve">    </w:t>
      </w:r>
      <w:r>
        <w:rPr>
          <w:rFonts w:hint="eastAsia"/>
          <w:lang w:val="zh-CN"/>
        </w:rPr>
        <w:t>2.项目监管。</w:t>
      </w:r>
    </w:p>
    <w:p w14:paraId="2E933400" w14:textId="77777777" w:rsidR="00D01AA6" w:rsidRDefault="00000000">
      <w:pPr>
        <w:pStyle w:val="a3"/>
        <w:spacing w:before="93"/>
        <w:rPr>
          <w:lang w:val="zh-CN"/>
        </w:rPr>
      </w:pPr>
      <w:r>
        <w:rPr>
          <w:rFonts w:hint="eastAsia"/>
        </w:rPr>
        <w:t xml:space="preserve">    </w:t>
      </w:r>
      <w:r>
        <w:rPr>
          <w:rFonts w:hint="eastAsia"/>
          <w:lang w:val="zh-CN"/>
        </w:rPr>
        <w:t>项目实施单位严格按照相关业务管理办法进行项目实施管理，按照项目计划进度实施，专项资金做到了专款专用，经费支出符合规范。</w:t>
      </w:r>
    </w:p>
    <w:p w14:paraId="603E9ED1" w14:textId="77777777" w:rsidR="00D01AA6" w:rsidRDefault="00000000">
      <w:pPr>
        <w:pStyle w:val="a3"/>
        <w:spacing w:before="93"/>
        <w:rPr>
          <w:lang w:val="zh-CN"/>
        </w:rPr>
      </w:pPr>
      <w:r>
        <w:rPr>
          <w:rFonts w:hint="eastAsia"/>
        </w:rPr>
        <w:t xml:space="preserve">    </w:t>
      </w:r>
      <w:r>
        <w:rPr>
          <w:rFonts w:hint="eastAsia"/>
          <w:lang w:val="zh-CN"/>
        </w:rPr>
        <w:t>3.项目执行制度。</w:t>
      </w:r>
    </w:p>
    <w:p w14:paraId="5D5FA851" w14:textId="77777777" w:rsidR="00D01AA6" w:rsidRDefault="00000000">
      <w:pPr>
        <w:pStyle w:val="a3"/>
        <w:spacing w:before="93"/>
        <w:rPr>
          <w:lang w:val="zh-CN"/>
        </w:rPr>
      </w:pPr>
      <w:r>
        <w:rPr>
          <w:rFonts w:hint="eastAsia"/>
        </w:rPr>
        <w:t xml:space="preserve">    </w:t>
      </w:r>
      <w:r>
        <w:rPr>
          <w:rFonts w:hint="eastAsia"/>
          <w:lang w:val="zh-CN"/>
        </w:rPr>
        <w:t>为加强项目管理，确保项目落到实处，充分发挥专项资金的</w:t>
      </w:r>
      <w:r>
        <w:rPr>
          <w:rFonts w:hint="eastAsia"/>
          <w:lang w:val="zh-CN"/>
        </w:rPr>
        <w:lastRenderedPageBreak/>
        <w:t>引导作用，主要通过对项目实施情况进行不定期进度检查等现场监管手段，监管各项目工作开展情况，同时对项目资金到位情况和使用情况进行督促检查，对发现的违规现象及时纠正，确保项目资金及时到位，确保项目承担单位按照资金管理办法支出范围进行支出，保证了项目承担单位做到专款专用。在规范管理监督下，项目承担单位建立了规范的财务制度，项目按照计划规范实施，保障了项目的顺利实施。</w:t>
      </w:r>
    </w:p>
    <w:p w14:paraId="39C916F3" w14:textId="77777777" w:rsidR="00D01AA6" w:rsidRDefault="00000000">
      <w:pPr>
        <w:pStyle w:val="a3"/>
        <w:spacing w:before="93"/>
        <w:rPr>
          <w:lang w:val="zh-CN"/>
        </w:rPr>
      </w:pPr>
      <w:r>
        <w:rPr>
          <w:rFonts w:hint="eastAsia"/>
        </w:rPr>
        <w:t xml:space="preserve">    </w:t>
      </w:r>
      <w:r>
        <w:rPr>
          <w:rFonts w:hint="eastAsia"/>
          <w:lang w:val="zh-CN"/>
        </w:rPr>
        <w:t>三、项目绩效情况</w:t>
      </w:r>
    </w:p>
    <w:p w14:paraId="728234DA" w14:textId="77777777" w:rsidR="00D01AA6" w:rsidRDefault="00000000">
      <w:pPr>
        <w:pStyle w:val="a3"/>
        <w:spacing w:before="93"/>
        <w:rPr>
          <w:lang w:val="zh-CN"/>
        </w:rPr>
      </w:pPr>
      <w:r>
        <w:rPr>
          <w:rFonts w:hint="eastAsia"/>
        </w:rPr>
        <w:t xml:space="preserve">    </w:t>
      </w:r>
      <w:r>
        <w:rPr>
          <w:rFonts w:hint="eastAsia"/>
          <w:lang w:val="zh-CN"/>
        </w:rPr>
        <w:t>（一）项目完成情况。</w:t>
      </w:r>
    </w:p>
    <w:p w14:paraId="08328177" w14:textId="77777777" w:rsidR="00D01AA6" w:rsidRDefault="00000000">
      <w:pPr>
        <w:pStyle w:val="a3"/>
        <w:spacing w:before="93"/>
        <w:rPr>
          <w:lang w:val="zh-CN"/>
        </w:rPr>
      </w:pPr>
      <w:r>
        <w:rPr>
          <w:rFonts w:hint="eastAsia"/>
        </w:rPr>
        <w:t xml:space="preserve">    </w:t>
      </w:r>
      <w:r>
        <w:rPr>
          <w:rFonts w:hint="eastAsia"/>
          <w:lang w:val="zh-CN"/>
        </w:rPr>
        <w:t>本项目共7条产出指标，其中：数量指标“重大活动直播次数”的年度指标值为“全年重大活动直播不低于1个，单次观看量不低于2万人次”，实际完成值为“全年重大活动直播1个，单次观看量2万人次”；数量指标“每年完成天数”的年度指标值为“全年编辑新媒体稿件不低于120期（天）”，实际完成值为“全年编辑新媒体稿件260期（天）”；数量指标“大型活动报道次数”的年度指标值为“全年大型策划报道不低于4个”，实际完成值为“全年大型策划报道4个”；数量指标“全年关注度”的年度指标值为“2021年关注度突破12000人次”，实际完成值为“2021年关注度未突破12000人次”；数量指标“全年总阅读量”的年度指标值为“120万/人次”，实际完成值为“120万/人次”；数量指标“每月完成天数”的年度指标值为“每月稿件不低于10期（天）”，实际完成值为“每月稿件21</w:t>
      </w:r>
      <w:r>
        <w:rPr>
          <w:rFonts w:hint="eastAsia"/>
          <w:lang w:val="zh-CN"/>
        </w:rPr>
        <w:lastRenderedPageBreak/>
        <w:t>期（天）”；时效指标“完成时间”的年度指标值为“2020年12月底完成”，实际完成值为“2021年12月底”。目前项目已完成验收，成本控制在项目计划内，完成了项目计划完成目标。</w:t>
      </w:r>
    </w:p>
    <w:p w14:paraId="149D65DC" w14:textId="77777777" w:rsidR="00D01AA6" w:rsidRDefault="00000000">
      <w:pPr>
        <w:pStyle w:val="a3"/>
        <w:spacing w:before="93"/>
        <w:rPr>
          <w:lang w:val="zh-CN"/>
        </w:rPr>
      </w:pPr>
      <w:r>
        <w:rPr>
          <w:rFonts w:hint="eastAsia"/>
          <w:lang w:val="zh-CN"/>
        </w:rPr>
        <w:t>（二）项目效益情况。</w:t>
      </w:r>
    </w:p>
    <w:p w14:paraId="7559622A" w14:textId="77777777" w:rsidR="00D01AA6" w:rsidRDefault="00000000">
      <w:pPr>
        <w:pStyle w:val="a3"/>
        <w:spacing w:before="93"/>
        <w:rPr>
          <w:lang w:val="zh-CN"/>
        </w:rPr>
      </w:pPr>
      <w:r>
        <w:rPr>
          <w:rFonts w:hint="eastAsia"/>
        </w:rPr>
        <w:t xml:space="preserve">     </w:t>
      </w:r>
      <w:r>
        <w:rPr>
          <w:rFonts w:hint="eastAsia"/>
          <w:lang w:val="zh-CN"/>
        </w:rPr>
        <w:t>本项目共1条效益指标，其中：社会效益指标“凉山文艺微信公众号”的年度指标值为“围绕州委、州政府中心工作做好宣传报道，依托新媒体技术在脱贫攻坚、移风易俗邓方面开展多种形式的宣传报道，做好州文联重点项目、重点活动”，实际完成值为“围绕州委、州政府中心工作做好宣传报道，依托新媒体技术在脱贫攻坚、移风易俗邓方面开展多种形式的宣传报道，做好州文联重点项目、重点活动”。</w:t>
      </w:r>
    </w:p>
    <w:p w14:paraId="0117DCC6" w14:textId="77777777" w:rsidR="00D01AA6" w:rsidRDefault="00000000">
      <w:pPr>
        <w:pStyle w:val="a3"/>
        <w:spacing w:before="93"/>
        <w:rPr>
          <w:lang w:val="zh-CN"/>
        </w:rPr>
      </w:pPr>
      <w:r>
        <w:rPr>
          <w:rFonts w:hint="eastAsia"/>
          <w:lang w:val="zh-CN"/>
        </w:rPr>
        <w:t>四、问题及建议</w:t>
      </w:r>
    </w:p>
    <w:p w14:paraId="0B7D409F" w14:textId="77777777" w:rsidR="00D01AA6" w:rsidRDefault="00000000">
      <w:pPr>
        <w:pStyle w:val="a3"/>
        <w:spacing w:before="93"/>
        <w:rPr>
          <w:lang w:val="zh-CN"/>
        </w:rPr>
      </w:pPr>
      <w:r>
        <w:rPr>
          <w:rFonts w:hint="eastAsia"/>
          <w:lang w:val="zh-CN"/>
        </w:rPr>
        <w:t>（一）存在的问题。</w:t>
      </w:r>
    </w:p>
    <w:p w14:paraId="5F24B913" w14:textId="77777777" w:rsidR="00D01AA6" w:rsidRDefault="00000000">
      <w:pPr>
        <w:pStyle w:val="a3"/>
        <w:spacing w:before="93"/>
        <w:rPr>
          <w:lang w:val="zh-CN"/>
        </w:rPr>
      </w:pPr>
      <w:r>
        <w:rPr>
          <w:rFonts w:hint="eastAsia"/>
        </w:rPr>
        <w:t xml:space="preserve">    </w:t>
      </w:r>
      <w:r>
        <w:rPr>
          <w:rFonts w:hint="eastAsia"/>
          <w:lang w:val="zh-CN"/>
        </w:rPr>
        <w:t>1.资金执行率为60.59%，未全部执行，原因是2021年非税收入短收，财政收回资金8万元。</w:t>
      </w:r>
    </w:p>
    <w:p w14:paraId="1EDD04C7" w14:textId="77777777" w:rsidR="00D01AA6" w:rsidRDefault="00000000">
      <w:pPr>
        <w:pStyle w:val="a3"/>
        <w:spacing w:before="93"/>
        <w:rPr>
          <w:lang w:val="zh-CN"/>
        </w:rPr>
      </w:pPr>
      <w:r>
        <w:rPr>
          <w:rFonts w:hint="eastAsia"/>
        </w:rPr>
        <w:t xml:space="preserve">    </w:t>
      </w:r>
      <w:r>
        <w:rPr>
          <w:rFonts w:hint="eastAsia"/>
          <w:lang w:val="zh-CN"/>
        </w:rPr>
        <w:t>2.项目未按计划完成。数量指标“全年关注度”的年度指标值为“2021年关注度突破12000人次”，实际完成值为“2021年关注度未突破12000人次”，偏差原因是“因全年工作重点脱贫攻坚工作，宣传力度减弱未完成指标”。</w:t>
      </w:r>
    </w:p>
    <w:p w14:paraId="200D139F" w14:textId="77777777" w:rsidR="00D01AA6" w:rsidRDefault="00000000">
      <w:pPr>
        <w:pStyle w:val="a3"/>
        <w:spacing w:before="93"/>
        <w:rPr>
          <w:lang w:val="zh-CN"/>
        </w:rPr>
      </w:pPr>
      <w:r>
        <w:rPr>
          <w:rFonts w:hint="eastAsia"/>
        </w:rPr>
        <w:t xml:space="preserve">    </w:t>
      </w:r>
      <w:r>
        <w:rPr>
          <w:rFonts w:hint="eastAsia"/>
          <w:lang w:val="zh-CN"/>
        </w:rPr>
        <w:t>3.绩效评价表中“完成结果”下“资金结余”的三级指标“资金结余”分值5分，指标实际得分0分，扣分原因为“非税短收，</w:t>
      </w:r>
      <w:r>
        <w:rPr>
          <w:rFonts w:hint="eastAsia"/>
          <w:lang w:val="zh-CN"/>
        </w:rPr>
        <w:lastRenderedPageBreak/>
        <w:t>财政收回8万元”；“完成结果”下“预算完成”的三级指标“预算完成”分值3分，指标实际得分0分，扣分原因为“非税短收，财政收回8万元”。</w:t>
      </w:r>
    </w:p>
    <w:p w14:paraId="30B67F9F" w14:textId="77777777" w:rsidR="00D01AA6" w:rsidRDefault="00000000">
      <w:pPr>
        <w:pStyle w:val="a3"/>
        <w:spacing w:before="93"/>
        <w:rPr>
          <w:lang w:val="zh-CN"/>
        </w:rPr>
      </w:pPr>
      <w:r>
        <w:rPr>
          <w:rFonts w:hint="eastAsia"/>
          <w:lang w:val="zh-CN"/>
        </w:rPr>
        <w:t>（二）相关建议。</w:t>
      </w:r>
    </w:p>
    <w:p w14:paraId="644ACDD4" w14:textId="77777777" w:rsidR="00D01AA6" w:rsidRDefault="00000000">
      <w:pPr>
        <w:pStyle w:val="a3"/>
        <w:spacing w:before="93"/>
        <w:rPr>
          <w:lang w:val="zh-CN"/>
        </w:rPr>
      </w:pPr>
      <w:r>
        <w:rPr>
          <w:rFonts w:hint="eastAsia"/>
        </w:rPr>
        <w:t xml:space="preserve">    </w:t>
      </w:r>
      <w:r>
        <w:rPr>
          <w:rFonts w:hint="eastAsia"/>
          <w:lang w:val="zh-CN"/>
        </w:rPr>
        <w:t>1.完善预算管理制度、财务管理制度，合理预算执行进度。健全单位财务管理制度体系，规范单位财务行为。掌握好财务结算支出进度，充分发挥财政资金的使用效益。</w:t>
      </w:r>
    </w:p>
    <w:p w14:paraId="24C71A67" w14:textId="77777777" w:rsidR="00D01AA6" w:rsidRDefault="00000000">
      <w:pPr>
        <w:pStyle w:val="a3"/>
        <w:spacing w:before="93"/>
        <w:rPr>
          <w:lang w:val="zh-CN"/>
        </w:rPr>
      </w:pPr>
      <w:r>
        <w:rPr>
          <w:rFonts w:hint="eastAsia"/>
        </w:rPr>
        <w:t xml:space="preserve">    </w:t>
      </w:r>
      <w:r>
        <w:rPr>
          <w:rFonts w:hint="eastAsia"/>
          <w:lang w:val="zh-CN"/>
        </w:rPr>
        <w:t>2.完善项目管理制度，加强对项目运行的监管力度，督促工作按照预定计划进行，保障项目的正常进度，提高项目完成率。</w:t>
      </w:r>
    </w:p>
    <w:p w14:paraId="054CB9D6" w14:textId="77777777" w:rsidR="00D01AA6" w:rsidRDefault="00000000">
      <w:pPr>
        <w:pStyle w:val="a3"/>
        <w:spacing w:before="93"/>
        <w:rPr>
          <w:lang w:val="zh-CN"/>
        </w:rPr>
      </w:pPr>
      <w:r>
        <w:rPr>
          <w:rFonts w:hint="eastAsia"/>
        </w:rPr>
        <w:t xml:space="preserve">    </w:t>
      </w:r>
      <w:r>
        <w:rPr>
          <w:rFonts w:hint="eastAsia"/>
          <w:lang w:val="zh-CN"/>
        </w:rPr>
        <w:t>3.完善项目管理制度，加强对项目运行的监管力度，督促工作按照预定计划进行，保障项目的正常进度，提高项目完成率。</w:t>
      </w:r>
    </w:p>
    <w:p w14:paraId="6B82071A" w14:textId="77777777" w:rsidR="00D01AA6" w:rsidRDefault="00000000">
      <w:pPr>
        <w:pStyle w:val="a3"/>
        <w:spacing w:before="93"/>
        <w:rPr>
          <w:lang w:val="zh-CN"/>
        </w:rPr>
      </w:pPr>
      <w:r>
        <w:rPr>
          <w:rFonts w:hint="eastAsia"/>
        </w:rPr>
        <w:t xml:space="preserve">    </w:t>
      </w:r>
      <w:r>
        <w:rPr>
          <w:rFonts w:hint="eastAsia"/>
          <w:lang w:val="zh-CN"/>
        </w:rPr>
        <w:t>4.完善预算管理制度、财务管理制度，合理预算执行进度。健全单位财务管理制度体系，规范单位财务行为。掌握好财务结算支出进度，充分发挥财政资金的使用效益。</w:t>
      </w:r>
    </w:p>
    <w:p w14:paraId="765771C5" w14:textId="77777777" w:rsidR="00D01AA6" w:rsidRDefault="00D01AA6">
      <w:pPr>
        <w:pStyle w:val="a3"/>
        <w:spacing w:before="93"/>
        <w:rPr>
          <w:lang w:val="zh-CN"/>
        </w:rPr>
      </w:pPr>
    </w:p>
    <w:p w14:paraId="13B48031" w14:textId="77777777" w:rsidR="00D01AA6" w:rsidRDefault="00D01AA6">
      <w:pPr>
        <w:pStyle w:val="a3"/>
        <w:spacing w:before="93"/>
        <w:rPr>
          <w:lang w:val="zh-CN"/>
        </w:rPr>
      </w:pPr>
    </w:p>
    <w:p w14:paraId="0EA68164" w14:textId="77777777" w:rsidR="00D01AA6" w:rsidRDefault="00D01AA6">
      <w:pPr>
        <w:pStyle w:val="a3"/>
        <w:spacing w:before="93"/>
        <w:rPr>
          <w:lang w:val="zh-CN"/>
        </w:rPr>
      </w:pPr>
    </w:p>
    <w:p w14:paraId="24BE858A" w14:textId="77777777" w:rsidR="00D01AA6" w:rsidRDefault="00D01AA6">
      <w:pPr>
        <w:pStyle w:val="a3"/>
        <w:spacing w:before="93"/>
        <w:rPr>
          <w:lang w:val="zh-CN"/>
        </w:rPr>
      </w:pPr>
    </w:p>
    <w:p w14:paraId="3C15B90E" w14:textId="77777777" w:rsidR="00D01AA6" w:rsidRDefault="00D01AA6">
      <w:pPr>
        <w:pStyle w:val="a3"/>
        <w:spacing w:before="93"/>
        <w:rPr>
          <w:lang w:val="zh-CN"/>
        </w:rPr>
      </w:pPr>
    </w:p>
    <w:p w14:paraId="28691139" w14:textId="77777777" w:rsidR="00D01AA6" w:rsidRDefault="00D01AA6">
      <w:pPr>
        <w:pStyle w:val="a3"/>
        <w:spacing w:before="93"/>
        <w:rPr>
          <w:lang w:val="zh-CN"/>
        </w:rPr>
      </w:pPr>
    </w:p>
    <w:p w14:paraId="61C687F4" w14:textId="77777777" w:rsidR="00D01AA6" w:rsidRDefault="00D01AA6">
      <w:pPr>
        <w:pStyle w:val="a3"/>
        <w:spacing w:before="93"/>
        <w:rPr>
          <w:lang w:val="zh-CN"/>
        </w:rPr>
      </w:pPr>
    </w:p>
    <w:p w14:paraId="185A8A16" w14:textId="77777777" w:rsidR="00D01AA6" w:rsidRDefault="00D01AA6">
      <w:pPr>
        <w:pStyle w:val="a3"/>
        <w:spacing w:before="93"/>
        <w:rPr>
          <w:lang w:val="zh-CN"/>
        </w:rPr>
      </w:pPr>
    </w:p>
    <w:p w14:paraId="64703DCA" w14:textId="77777777" w:rsidR="00D01AA6" w:rsidRDefault="00D01AA6">
      <w:pPr>
        <w:pStyle w:val="a3"/>
        <w:spacing w:before="93"/>
        <w:rPr>
          <w:lang w:val="zh-CN"/>
        </w:rPr>
      </w:pPr>
    </w:p>
    <w:p w14:paraId="40FF5961" w14:textId="77777777" w:rsidR="00D01AA6" w:rsidRDefault="00D01AA6">
      <w:pPr>
        <w:pStyle w:val="a3"/>
        <w:spacing w:before="93"/>
        <w:rPr>
          <w:lang w:val="zh-CN"/>
        </w:rPr>
      </w:pPr>
    </w:p>
    <w:p w14:paraId="1F14C6C4" w14:textId="77777777" w:rsidR="00D01AA6" w:rsidRDefault="00000000">
      <w:pPr>
        <w:pStyle w:val="a3"/>
        <w:spacing w:before="93"/>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2021年《凉山文学》美丽新凉山特刊项目</w:t>
      </w:r>
    </w:p>
    <w:p w14:paraId="7B1A0F96" w14:textId="77777777" w:rsidR="00D01AA6" w:rsidRDefault="00000000">
      <w:pPr>
        <w:pStyle w:val="a3"/>
        <w:spacing w:before="93"/>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绩效自评报告</w:t>
      </w:r>
    </w:p>
    <w:p w14:paraId="31D4EB26" w14:textId="77777777" w:rsidR="00D01AA6" w:rsidRDefault="00D01AA6">
      <w:pPr>
        <w:pStyle w:val="a3"/>
        <w:spacing w:before="93"/>
        <w:rPr>
          <w:lang w:val="zh-CN"/>
        </w:rPr>
      </w:pPr>
    </w:p>
    <w:p w14:paraId="504DDBCF" w14:textId="77777777" w:rsidR="00D01AA6" w:rsidRDefault="00000000">
      <w:pPr>
        <w:pStyle w:val="a3"/>
        <w:spacing w:before="93"/>
        <w:rPr>
          <w:lang w:val="zh-CN"/>
        </w:rPr>
      </w:pPr>
      <w:r>
        <w:rPr>
          <w:rFonts w:hint="eastAsia"/>
          <w:lang w:val="zh-CN"/>
        </w:rPr>
        <w:t>一、项目概况</w:t>
      </w:r>
    </w:p>
    <w:p w14:paraId="55F66738" w14:textId="77777777" w:rsidR="00D01AA6" w:rsidRDefault="00000000">
      <w:pPr>
        <w:pStyle w:val="a3"/>
        <w:spacing w:before="93"/>
        <w:rPr>
          <w:lang w:val="zh-CN"/>
        </w:rPr>
      </w:pPr>
      <w:r>
        <w:rPr>
          <w:rFonts w:hint="eastAsia"/>
          <w:lang w:val="zh-CN"/>
        </w:rPr>
        <w:t>（一）项目资金申报及批复情况。</w:t>
      </w:r>
    </w:p>
    <w:p w14:paraId="68E2B312" w14:textId="77777777" w:rsidR="00D01AA6" w:rsidRDefault="00000000">
      <w:pPr>
        <w:pStyle w:val="a3"/>
        <w:spacing w:before="93"/>
        <w:rPr>
          <w:lang w:val="zh-CN"/>
        </w:rPr>
      </w:pPr>
      <w:r>
        <w:rPr>
          <w:rFonts w:hint="eastAsia"/>
        </w:rPr>
        <w:t xml:space="preserve">    </w:t>
      </w:r>
      <w:r>
        <w:rPr>
          <w:rFonts w:hint="eastAsia"/>
          <w:lang w:val="zh-CN"/>
        </w:rPr>
        <w:t>年初预算数申报4万元，财政批复预算4万元。</w:t>
      </w:r>
    </w:p>
    <w:p w14:paraId="5BFCB0AC" w14:textId="77777777" w:rsidR="00D01AA6" w:rsidRDefault="00000000">
      <w:pPr>
        <w:pStyle w:val="a3"/>
        <w:spacing w:before="93"/>
        <w:rPr>
          <w:lang w:val="zh-CN"/>
        </w:rPr>
      </w:pPr>
      <w:r>
        <w:rPr>
          <w:rFonts w:hint="eastAsia"/>
          <w:lang w:val="zh-CN"/>
        </w:rPr>
        <w:t>（二）项目绩效目标。</w:t>
      </w:r>
    </w:p>
    <w:p w14:paraId="0812AF59" w14:textId="77777777" w:rsidR="00D01AA6" w:rsidRDefault="00000000">
      <w:pPr>
        <w:pStyle w:val="a3"/>
        <w:spacing w:before="93"/>
        <w:rPr>
          <w:lang w:val="zh-CN"/>
        </w:rPr>
      </w:pPr>
      <w:r>
        <w:rPr>
          <w:rFonts w:hint="eastAsia"/>
          <w:lang w:val="zh-CN"/>
        </w:rPr>
        <w:t>1.项目主要内容</w:t>
      </w:r>
    </w:p>
    <w:p w14:paraId="4FDD9C48" w14:textId="77777777" w:rsidR="00D01AA6" w:rsidRDefault="00000000">
      <w:pPr>
        <w:pStyle w:val="a3"/>
        <w:spacing w:before="93"/>
        <w:rPr>
          <w:lang w:val="zh-CN"/>
        </w:rPr>
      </w:pPr>
      <w:r>
        <w:rPr>
          <w:rFonts w:hint="eastAsia"/>
        </w:rPr>
        <w:t xml:space="preserve">    </w:t>
      </w:r>
      <w:r>
        <w:rPr>
          <w:rFonts w:hint="eastAsia"/>
          <w:lang w:val="zh-CN"/>
        </w:rPr>
        <w:t>完成《凉山文学》美丽新凉山特刊出版</w:t>
      </w:r>
    </w:p>
    <w:p w14:paraId="03C163C8" w14:textId="77777777" w:rsidR="00D01AA6" w:rsidRDefault="00000000">
      <w:pPr>
        <w:pStyle w:val="a3"/>
        <w:spacing w:before="93"/>
        <w:rPr>
          <w:lang w:val="zh-CN"/>
        </w:rPr>
      </w:pPr>
      <w:r>
        <w:rPr>
          <w:rFonts w:hint="eastAsia"/>
          <w:lang w:val="zh-CN"/>
        </w:rPr>
        <w:t>2.项目绩效目标</w:t>
      </w:r>
    </w:p>
    <w:p w14:paraId="2D1D992B" w14:textId="77777777" w:rsidR="00D01AA6" w:rsidRDefault="00000000">
      <w:pPr>
        <w:pStyle w:val="a3"/>
        <w:spacing w:before="93"/>
        <w:rPr>
          <w:lang w:val="zh-CN"/>
        </w:rPr>
      </w:pPr>
      <w:r>
        <w:rPr>
          <w:rFonts w:hint="eastAsia"/>
        </w:rPr>
        <w:t xml:space="preserve">    </w:t>
      </w:r>
      <w:r>
        <w:rPr>
          <w:rFonts w:hint="eastAsia"/>
          <w:lang w:val="zh-CN"/>
        </w:rPr>
        <w:t>数量指标“入选作品”的指标值为“106幅”；生态效益指标“生态效益指标”的指标值为“生态效益指标”；可持续影响指标“可持续影响”的指标值为“可持续影响”；服务对象满意度指标“满意度”的指标值为“95%”；数量指标“印数”的指标值为“1000册”；数量指标“尺寸大小”的指标值为</w:t>
      </w:r>
      <w:r>
        <w:rPr>
          <w:rFonts w:hint="eastAsia"/>
          <w:lang w:val="zh-CN"/>
        </w:rPr>
        <w:lastRenderedPageBreak/>
        <w:t>“185*260mm”；数量指标“页数”的指标值为“160内页”；时效指标“完成时间”的指标值为“2021/12/31”；成本指标“出版成本”的指标值为“成本控制在预算内”。</w:t>
      </w:r>
    </w:p>
    <w:p w14:paraId="6389D239" w14:textId="77777777" w:rsidR="00D01AA6" w:rsidRDefault="00000000">
      <w:pPr>
        <w:pStyle w:val="a3"/>
        <w:spacing w:before="93"/>
        <w:rPr>
          <w:lang w:val="zh-CN"/>
        </w:rPr>
      </w:pPr>
      <w:r>
        <w:rPr>
          <w:rFonts w:hint="eastAsia"/>
        </w:rPr>
        <w:t xml:space="preserve">    </w:t>
      </w:r>
      <w:r>
        <w:rPr>
          <w:rFonts w:hint="eastAsia"/>
          <w:lang w:val="zh-CN"/>
        </w:rPr>
        <w:t>项目制定了切实可行的目标计划，量化具体、细化可行，项目实施进度计划合理，具体绩效目标见财政项目支出绩效评价指标体系。</w:t>
      </w:r>
    </w:p>
    <w:p w14:paraId="3952B91D" w14:textId="77777777" w:rsidR="00D01AA6" w:rsidRDefault="00000000">
      <w:pPr>
        <w:pStyle w:val="a3"/>
        <w:spacing w:before="93"/>
        <w:rPr>
          <w:lang w:val="zh-CN"/>
        </w:rPr>
      </w:pPr>
      <w:r>
        <w:rPr>
          <w:rFonts w:hint="eastAsia"/>
          <w:lang w:val="zh-CN"/>
        </w:rPr>
        <w:t>（三）项目资金申报相符性。</w:t>
      </w:r>
    </w:p>
    <w:p w14:paraId="3594504C" w14:textId="77777777" w:rsidR="00D01AA6" w:rsidRDefault="00000000">
      <w:pPr>
        <w:pStyle w:val="a3"/>
        <w:spacing w:before="93"/>
        <w:rPr>
          <w:lang w:val="zh-CN"/>
        </w:rPr>
      </w:pPr>
      <w:r>
        <w:rPr>
          <w:rFonts w:hint="eastAsia"/>
        </w:rPr>
        <w:t xml:space="preserve">    </w:t>
      </w:r>
      <w:r>
        <w:rPr>
          <w:rFonts w:hint="eastAsia"/>
          <w:lang w:val="zh-CN"/>
        </w:rPr>
        <w:t>各项目申报内容与具体实施内容相符，申报目标合理可行。</w:t>
      </w:r>
    </w:p>
    <w:p w14:paraId="15D94762" w14:textId="77777777" w:rsidR="00D01AA6" w:rsidRDefault="00000000">
      <w:pPr>
        <w:pStyle w:val="a3"/>
        <w:spacing w:before="93"/>
        <w:rPr>
          <w:lang w:val="zh-CN"/>
        </w:rPr>
      </w:pPr>
      <w:r>
        <w:rPr>
          <w:rFonts w:hint="eastAsia"/>
          <w:lang w:val="zh-CN"/>
        </w:rPr>
        <w:t>二、项目实施及管理情况</w:t>
      </w:r>
    </w:p>
    <w:p w14:paraId="4B9430ED" w14:textId="77777777" w:rsidR="00D01AA6" w:rsidRDefault="00000000">
      <w:pPr>
        <w:pStyle w:val="a3"/>
        <w:spacing w:before="93"/>
        <w:rPr>
          <w:lang w:val="zh-CN"/>
        </w:rPr>
      </w:pPr>
      <w:r>
        <w:rPr>
          <w:rFonts w:hint="eastAsia"/>
          <w:lang w:val="zh-CN"/>
        </w:rPr>
        <w:t>（一）资金计划、到位及使用情况。</w:t>
      </w:r>
    </w:p>
    <w:p w14:paraId="0F25C207" w14:textId="77777777" w:rsidR="00D01AA6" w:rsidRDefault="00000000">
      <w:pPr>
        <w:pStyle w:val="a3"/>
        <w:spacing w:before="93"/>
        <w:rPr>
          <w:lang w:val="zh-CN"/>
        </w:rPr>
      </w:pPr>
      <w:r>
        <w:rPr>
          <w:rFonts w:hint="eastAsia"/>
          <w:lang w:val="zh-CN"/>
        </w:rPr>
        <w:t>1.资金计划及到位</w:t>
      </w:r>
    </w:p>
    <w:p w14:paraId="3691366C" w14:textId="77777777" w:rsidR="00D01AA6" w:rsidRDefault="00000000">
      <w:pPr>
        <w:pStyle w:val="a3"/>
        <w:spacing w:before="93"/>
        <w:rPr>
          <w:lang w:val="zh-CN"/>
        </w:rPr>
      </w:pPr>
      <w:r>
        <w:rPr>
          <w:rFonts w:hint="eastAsia"/>
        </w:rPr>
        <w:t xml:space="preserve">    </w:t>
      </w:r>
      <w:r>
        <w:rPr>
          <w:rFonts w:hint="eastAsia"/>
          <w:lang w:val="zh-CN"/>
        </w:rPr>
        <w:t>资金批复4万元，实际到位4万元，到位率为100%。</w:t>
      </w:r>
    </w:p>
    <w:p w14:paraId="7BE1A9B1" w14:textId="77777777" w:rsidR="00D01AA6" w:rsidRDefault="00000000">
      <w:pPr>
        <w:pStyle w:val="a3"/>
        <w:spacing w:before="93"/>
        <w:rPr>
          <w:lang w:val="zh-CN"/>
        </w:rPr>
      </w:pPr>
      <w:r>
        <w:rPr>
          <w:rFonts w:hint="eastAsia"/>
          <w:lang w:val="zh-CN"/>
        </w:rPr>
        <w:t>2.资金使用</w:t>
      </w:r>
    </w:p>
    <w:p w14:paraId="1B37F10D" w14:textId="77777777" w:rsidR="00D01AA6" w:rsidRDefault="00000000">
      <w:pPr>
        <w:pStyle w:val="a3"/>
        <w:spacing w:before="93"/>
        <w:rPr>
          <w:lang w:val="zh-CN"/>
        </w:rPr>
      </w:pPr>
      <w:r>
        <w:rPr>
          <w:rFonts w:hint="eastAsia"/>
        </w:rPr>
        <w:t xml:space="preserve">    </w:t>
      </w:r>
      <w:r>
        <w:rPr>
          <w:rFonts w:hint="eastAsia"/>
          <w:lang w:val="zh-CN"/>
        </w:rPr>
        <w:t>到目前为止项目共投入资金4万元，资金执行率为100.00%。资金开支范围、标准及支付进度,支付依据合规合法,资金支付与预算相符。</w:t>
      </w:r>
    </w:p>
    <w:p w14:paraId="4C273C0A" w14:textId="77777777" w:rsidR="00D01AA6" w:rsidRDefault="00000000">
      <w:pPr>
        <w:pStyle w:val="a3"/>
        <w:spacing w:before="93"/>
        <w:rPr>
          <w:lang w:val="zh-CN"/>
        </w:rPr>
      </w:pPr>
      <w:r>
        <w:rPr>
          <w:rFonts w:hint="eastAsia"/>
          <w:lang w:val="zh-CN"/>
        </w:rPr>
        <w:t>（二）项目财务管理情况。</w:t>
      </w:r>
    </w:p>
    <w:p w14:paraId="18372DF1" w14:textId="77777777" w:rsidR="00D01AA6" w:rsidRDefault="00000000">
      <w:pPr>
        <w:pStyle w:val="a3"/>
        <w:spacing w:before="93"/>
        <w:rPr>
          <w:lang w:val="zh-CN"/>
        </w:rPr>
      </w:pPr>
      <w:r>
        <w:rPr>
          <w:rFonts w:hint="eastAsia"/>
        </w:rPr>
        <w:t xml:space="preserve">    </w:t>
      </w:r>
      <w:r>
        <w:rPr>
          <w:rFonts w:hint="eastAsia"/>
          <w:lang w:val="zh-CN"/>
        </w:rPr>
        <w:t>项目经费严格按照财务管理制度进行管理，保证专款专用，不存在截留、滞留、挤占、挪用、套取、虚报、冒领的问题，资金发放复查由财务人员按照财务制度进行资金的审核、支付和核</w:t>
      </w:r>
      <w:r>
        <w:rPr>
          <w:rFonts w:hint="eastAsia"/>
          <w:lang w:val="zh-CN"/>
        </w:rPr>
        <w:lastRenderedPageBreak/>
        <w:t>算，所有支出均以转账方式进行，在具体支付时，具备了资金发票、合同、验收清单等相关材料，手续是完善的，不存在虚假会计凭证的情况，会计严格执行财务管理制度，财务处理及时，核算规范。</w:t>
      </w:r>
    </w:p>
    <w:p w14:paraId="17EA3605" w14:textId="77777777" w:rsidR="00D01AA6" w:rsidRDefault="00000000">
      <w:pPr>
        <w:pStyle w:val="a3"/>
        <w:spacing w:before="93"/>
        <w:rPr>
          <w:lang w:val="zh-CN"/>
        </w:rPr>
      </w:pPr>
      <w:r>
        <w:rPr>
          <w:rFonts w:hint="eastAsia"/>
          <w:lang w:val="zh-CN"/>
        </w:rPr>
        <w:t>（三）项目组织实施情况。</w:t>
      </w:r>
    </w:p>
    <w:p w14:paraId="0F270B87" w14:textId="77777777" w:rsidR="00D01AA6" w:rsidRDefault="00000000">
      <w:pPr>
        <w:pStyle w:val="a3"/>
        <w:spacing w:before="93"/>
        <w:rPr>
          <w:lang w:val="zh-CN"/>
        </w:rPr>
      </w:pPr>
      <w:r>
        <w:rPr>
          <w:rFonts w:hint="eastAsia"/>
          <w:lang w:val="zh-CN"/>
        </w:rPr>
        <w:t>1.机构设置。</w:t>
      </w:r>
    </w:p>
    <w:p w14:paraId="67F1E5E0" w14:textId="77777777" w:rsidR="00D01AA6" w:rsidRDefault="00000000">
      <w:pPr>
        <w:pStyle w:val="a3"/>
        <w:spacing w:before="93"/>
        <w:rPr>
          <w:lang w:val="zh-CN"/>
        </w:rPr>
      </w:pPr>
      <w:r>
        <w:rPr>
          <w:rFonts w:hint="eastAsia"/>
        </w:rPr>
        <w:t xml:space="preserve">    </w:t>
      </w:r>
      <w:r>
        <w:rPr>
          <w:rFonts w:hint="eastAsia"/>
          <w:lang w:val="zh-CN"/>
        </w:rPr>
        <w:t>财政资金主管部门为州文联，负责安排预算资金，预算批复后拨付资金，负责对资金使用情况进行监督检查。</w:t>
      </w:r>
    </w:p>
    <w:p w14:paraId="460CA62E" w14:textId="77777777" w:rsidR="00D01AA6" w:rsidRDefault="00000000">
      <w:pPr>
        <w:pStyle w:val="a3"/>
        <w:spacing w:before="93"/>
        <w:rPr>
          <w:lang w:val="zh-CN"/>
        </w:rPr>
      </w:pPr>
      <w:r>
        <w:rPr>
          <w:rFonts w:hint="eastAsia"/>
        </w:rPr>
        <w:t xml:space="preserve">    </w:t>
      </w:r>
      <w:r>
        <w:rPr>
          <w:rFonts w:hint="eastAsia"/>
          <w:lang w:val="zh-CN"/>
        </w:rPr>
        <w:t>项目的执行单位为州文联，主要负责项目的具体实施、人员安排、风险管控、预算执行等，负责对按政府采购方式确定服务主体，并对项目服务单位进行监管。</w:t>
      </w:r>
    </w:p>
    <w:p w14:paraId="6E500A73" w14:textId="77777777" w:rsidR="00D01AA6" w:rsidRDefault="00000000">
      <w:pPr>
        <w:pStyle w:val="a3"/>
        <w:spacing w:before="93"/>
        <w:rPr>
          <w:lang w:val="zh-CN"/>
        </w:rPr>
      </w:pPr>
      <w:r>
        <w:rPr>
          <w:rFonts w:hint="eastAsia"/>
        </w:rPr>
        <w:t xml:space="preserve">    </w:t>
      </w:r>
      <w:r>
        <w:rPr>
          <w:rFonts w:hint="eastAsia"/>
          <w:lang w:val="zh-CN"/>
        </w:rPr>
        <w:t>项目的服务单位为成都市金雅迪彩色印刷有限公司，通过招标采购而中标的单位，严格按照合同约定承担履约，主要是按照合同约定，按时按量提供货物或服务，并且在质保期内提供维修服务。</w:t>
      </w:r>
    </w:p>
    <w:p w14:paraId="0FADD285" w14:textId="77777777" w:rsidR="00D01AA6" w:rsidRDefault="00000000">
      <w:pPr>
        <w:pStyle w:val="a3"/>
        <w:spacing w:before="93"/>
        <w:rPr>
          <w:lang w:val="zh-CN"/>
        </w:rPr>
      </w:pPr>
      <w:r>
        <w:rPr>
          <w:rFonts w:hint="eastAsia"/>
          <w:lang w:val="zh-CN"/>
        </w:rPr>
        <w:t>2.项目监管。</w:t>
      </w:r>
    </w:p>
    <w:p w14:paraId="1A71EBCB" w14:textId="77777777" w:rsidR="00D01AA6" w:rsidRDefault="00000000">
      <w:pPr>
        <w:pStyle w:val="a3"/>
        <w:spacing w:before="93"/>
        <w:rPr>
          <w:lang w:val="zh-CN"/>
        </w:rPr>
      </w:pPr>
      <w:r>
        <w:rPr>
          <w:rFonts w:hint="eastAsia"/>
        </w:rPr>
        <w:t xml:space="preserve">    </w:t>
      </w:r>
      <w:r>
        <w:rPr>
          <w:rFonts w:hint="eastAsia"/>
          <w:lang w:val="zh-CN"/>
        </w:rPr>
        <w:t>项目实施单位严格按照相关业务管理办法进行项目实施管理，按照项目计划进度实施，专项资金做到了专款专用，经费支出符合规范。</w:t>
      </w:r>
    </w:p>
    <w:p w14:paraId="1F6F9C6C" w14:textId="77777777" w:rsidR="00D01AA6" w:rsidRDefault="00000000">
      <w:pPr>
        <w:pStyle w:val="a3"/>
        <w:spacing w:before="93"/>
        <w:rPr>
          <w:lang w:val="zh-CN"/>
        </w:rPr>
      </w:pPr>
      <w:r>
        <w:rPr>
          <w:rFonts w:hint="eastAsia"/>
          <w:lang w:val="zh-CN"/>
        </w:rPr>
        <w:t>3.项目执行制度。</w:t>
      </w:r>
    </w:p>
    <w:p w14:paraId="17D08E43" w14:textId="77777777" w:rsidR="00D01AA6" w:rsidRDefault="00000000">
      <w:pPr>
        <w:pStyle w:val="a3"/>
        <w:spacing w:before="93"/>
        <w:rPr>
          <w:lang w:val="zh-CN"/>
        </w:rPr>
      </w:pPr>
      <w:r>
        <w:rPr>
          <w:rFonts w:hint="eastAsia"/>
        </w:rPr>
        <w:t xml:space="preserve">    </w:t>
      </w:r>
      <w:r>
        <w:rPr>
          <w:rFonts w:hint="eastAsia"/>
          <w:lang w:val="zh-CN"/>
        </w:rPr>
        <w:t>为加强项目管理，确保项目落到实处，充分发挥专项资金的</w:t>
      </w:r>
      <w:r>
        <w:rPr>
          <w:rFonts w:hint="eastAsia"/>
          <w:lang w:val="zh-CN"/>
        </w:rPr>
        <w:lastRenderedPageBreak/>
        <w:t>引导作用，主要通过对项目实施情况进行不定期进度检查等现场监管手段，监管各项目工作开展情况，同时对项目资金到位情况和使用情况进行督促检查，对发现的违规现象及时纠正，确保项目资金及时到位，确保项目承担单位按照资金管理办法支出范围进行支出，保证了项目承担单位做到专款专用。在规范管理监督下，项目承担单位建立了规范的财务制度，项目按照计划规范实施，保障了项目的顺利实施。</w:t>
      </w:r>
    </w:p>
    <w:p w14:paraId="36EE6E91" w14:textId="77777777" w:rsidR="00D01AA6" w:rsidRDefault="00000000">
      <w:pPr>
        <w:pStyle w:val="a3"/>
        <w:spacing w:before="93"/>
        <w:rPr>
          <w:lang w:val="zh-CN"/>
        </w:rPr>
      </w:pPr>
      <w:r>
        <w:rPr>
          <w:rFonts w:hint="eastAsia"/>
          <w:lang w:val="zh-CN"/>
        </w:rPr>
        <w:t>三、项目绩效情况</w:t>
      </w:r>
    </w:p>
    <w:p w14:paraId="74147C6D" w14:textId="77777777" w:rsidR="00D01AA6" w:rsidRDefault="00000000">
      <w:pPr>
        <w:pStyle w:val="a3"/>
        <w:spacing w:before="93"/>
        <w:rPr>
          <w:lang w:val="zh-CN"/>
        </w:rPr>
      </w:pPr>
      <w:r>
        <w:rPr>
          <w:rFonts w:hint="eastAsia"/>
          <w:lang w:val="zh-CN"/>
        </w:rPr>
        <w:t>（一）项目完成情况。</w:t>
      </w:r>
    </w:p>
    <w:p w14:paraId="50F653F0" w14:textId="77777777" w:rsidR="00D01AA6" w:rsidRDefault="00000000">
      <w:pPr>
        <w:pStyle w:val="a3"/>
        <w:spacing w:before="93"/>
        <w:rPr>
          <w:lang w:val="zh-CN"/>
        </w:rPr>
      </w:pPr>
      <w:r>
        <w:rPr>
          <w:rFonts w:hint="eastAsia"/>
        </w:rPr>
        <w:t xml:space="preserve">    </w:t>
      </w:r>
      <w:r>
        <w:rPr>
          <w:rFonts w:hint="eastAsia"/>
          <w:lang w:val="zh-CN"/>
        </w:rPr>
        <w:t>本项目共6条产出指标，其中：数量指标“入选作品”的年度指标值为“106幅”，实际完成值为“106幅”；数量指标“印数”的年度指标值为“1000册”，实际完成值为“1000册”；数量指标“尺寸大小”的年度指标值为“185*260mm”，实际完成值为“185*260mm”；数量指标“页数”的年度指标值为“160内页”，实际完成值为“160内页”；时效指标“完成时间”的年度指标值为“2021/12/31”，实际完成值为“2021/12/31”；成本指标“出版成本”的年度指标值为“成本控制在预算内”，实际完成值为“成本控制在预算内”。目前项目已完成验收，成本控制在项目计划内，完成了项目计划完成目标。</w:t>
      </w:r>
    </w:p>
    <w:p w14:paraId="14FEFF39" w14:textId="77777777" w:rsidR="00D01AA6" w:rsidRDefault="00000000">
      <w:pPr>
        <w:pStyle w:val="a3"/>
        <w:spacing w:before="93"/>
        <w:rPr>
          <w:lang w:val="zh-CN"/>
        </w:rPr>
      </w:pPr>
      <w:r>
        <w:rPr>
          <w:rFonts w:hint="eastAsia"/>
          <w:lang w:val="zh-CN"/>
        </w:rPr>
        <w:t>（二）项目效益情况。</w:t>
      </w:r>
    </w:p>
    <w:p w14:paraId="1591E9CD" w14:textId="77777777" w:rsidR="00D01AA6" w:rsidRDefault="00000000">
      <w:pPr>
        <w:pStyle w:val="a3"/>
        <w:spacing w:before="93"/>
        <w:rPr>
          <w:lang w:val="zh-CN"/>
        </w:rPr>
      </w:pPr>
      <w:r>
        <w:rPr>
          <w:rFonts w:hint="eastAsia"/>
        </w:rPr>
        <w:lastRenderedPageBreak/>
        <w:t xml:space="preserve">    </w:t>
      </w:r>
      <w:r>
        <w:rPr>
          <w:rFonts w:hint="eastAsia"/>
          <w:lang w:val="zh-CN"/>
        </w:rPr>
        <w:t>本项目共2条效益指标，其中：生态效益指标“生态效益指标”的年度指标值为“生态效益指标”，实际完成值为“无”；可持续影响指标“可持续影响”的年度指标值为“可持续影响”，实际完成值为“持续影响”。</w:t>
      </w:r>
    </w:p>
    <w:p w14:paraId="19C32AE0" w14:textId="77777777" w:rsidR="00D01AA6" w:rsidRDefault="00000000">
      <w:pPr>
        <w:pStyle w:val="a3"/>
        <w:spacing w:before="93"/>
        <w:rPr>
          <w:lang w:val="zh-CN"/>
        </w:rPr>
      </w:pPr>
      <w:r>
        <w:rPr>
          <w:rFonts w:hint="eastAsia"/>
          <w:lang w:val="zh-CN"/>
        </w:rPr>
        <w:t>四、问题及建议</w:t>
      </w:r>
    </w:p>
    <w:p w14:paraId="6F509F33" w14:textId="77777777" w:rsidR="00D01AA6" w:rsidRDefault="00000000">
      <w:pPr>
        <w:pStyle w:val="a3"/>
        <w:spacing w:before="93"/>
        <w:rPr>
          <w:lang w:val="zh-CN"/>
        </w:rPr>
      </w:pPr>
      <w:r>
        <w:rPr>
          <w:rFonts w:hint="eastAsia"/>
          <w:lang w:val="zh-CN"/>
        </w:rPr>
        <w:t>（一）存在的问题。</w:t>
      </w:r>
    </w:p>
    <w:p w14:paraId="02F860D7" w14:textId="77777777" w:rsidR="00D01AA6" w:rsidRDefault="00000000">
      <w:pPr>
        <w:pStyle w:val="a3"/>
        <w:spacing w:before="93"/>
        <w:rPr>
          <w:lang w:val="zh-CN"/>
        </w:rPr>
      </w:pPr>
      <w:r>
        <w:rPr>
          <w:rFonts w:hint="eastAsia"/>
        </w:rPr>
        <w:t xml:space="preserve">    </w:t>
      </w:r>
      <w:r>
        <w:rPr>
          <w:rFonts w:hint="eastAsia"/>
          <w:lang w:val="zh-CN"/>
        </w:rPr>
        <w:t>无</w:t>
      </w:r>
    </w:p>
    <w:p w14:paraId="0DA7CE95" w14:textId="77777777" w:rsidR="00D01AA6" w:rsidRDefault="00000000">
      <w:pPr>
        <w:pStyle w:val="a3"/>
        <w:spacing w:before="93"/>
        <w:rPr>
          <w:lang w:val="zh-CN"/>
        </w:rPr>
      </w:pPr>
      <w:r>
        <w:rPr>
          <w:rFonts w:hint="eastAsia"/>
          <w:lang w:val="zh-CN"/>
        </w:rPr>
        <w:t>（二）相关建议。</w:t>
      </w:r>
    </w:p>
    <w:p w14:paraId="79ACDFA0" w14:textId="77777777" w:rsidR="00D01AA6" w:rsidRDefault="00000000">
      <w:pPr>
        <w:pStyle w:val="a3"/>
        <w:spacing w:before="93"/>
        <w:ind w:firstLineChars="200" w:firstLine="600"/>
        <w:rPr>
          <w:lang w:val="zh-CN"/>
        </w:rPr>
      </w:pPr>
      <w:r>
        <w:rPr>
          <w:rFonts w:hint="eastAsia"/>
          <w:lang w:val="zh-CN"/>
        </w:rPr>
        <w:t>无</w:t>
      </w:r>
    </w:p>
    <w:p w14:paraId="780C087D" w14:textId="77777777" w:rsidR="00D01AA6" w:rsidRDefault="00D01AA6">
      <w:pPr>
        <w:pStyle w:val="a3"/>
        <w:spacing w:before="93"/>
        <w:ind w:firstLineChars="200" w:firstLine="600"/>
        <w:rPr>
          <w:lang w:val="zh-CN"/>
        </w:rPr>
      </w:pPr>
    </w:p>
    <w:p w14:paraId="00AE9DEC" w14:textId="77777777" w:rsidR="00D01AA6" w:rsidRDefault="00D01AA6">
      <w:pPr>
        <w:pStyle w:val="a3"/>
        <w:spacing w:before="93"/>
        <w:ind w:firstLineChars="200" w:firstLine="600"/>
        <w:rPr>
          <w:lang w:val="zh-CN"/>
        </w:rPr>
      </w:pPr>
    </w:p>
    <w:p w14:paraId="45ED199C" w14:textId="77777777" w:rsidR="00D01AA6" w:rsidRDefault="00D01AA6">
      <w:pPr>
        <w:pStyle w:val="a3"/>
        <w:spacing w:before="93"/>
        <w:ind w:firstLineChars="200" w:firstLine="600"/>
        <w:rPr>
          <w:lang w:val="zh-CN"/>
        </w:rPr>
      </w:pPr>
    </w:p>
    <w:p w14:paraId="33FC5C53" w14:textId="77777777" w:rsidR="00D01AA6" w:rsidRDefault="00D01AA6">
      <w:pPr>
        <w:pStyle w:val="a3"/>
        <w:spacing w:before="93"/>
        <w:ind w:firstLineChars="200" w:firstLine="600"/>
        <w:rPr>
          <w:lang w:val="zh-CN"/>
        </w:rPr>
      </w:pPr>
    </w:p>
    <w:p w14:paraId="736EBB9C" w14:textId="77777777" w:rsidR="00D01AA6" w:rsidRDefault="00D01AA6">
      <w:pPr>
        <w:pStyle w:val="a3"/>
        <w:spacing w:before="93"/>
        <w:ind w:firstLineChars="200" w:firstLine="600"/>
        <w:rPr>
          <w:lang w:val="zh-CN"/>
        </w:rPr>
      </w:pPr>
    </w:p>
    <w:p w14:paraId="7A20393E" w14:textId="77777777" w:rsidR="00D01AA6" w:rsidRDefault="00D01AA6">
      <w:pPr>
        <w:pStyle w:val="a3"/>
        <w:spacing w:before="93"/>
        <w:ind w:firstLineChars="200" w:firstLine="600"/>
        <w:rPr>
          <w:lang w:val="zh-CN"/>
        </w:rPr>
      </w:pPr>
    </w:p>
    <w:p w14:paraId="4140FD2E" w14:textId="77777777" w:rsidR="00D01AA6" w:rsidRDefault="00D01AA6">
      <w:pPr>
        <w:pStyle w:val="a3"/>
        <w:spacing w:before="93"/>
        <w:ind w:firstLineChars="200" w:firstLine="600"/>
        <w:rPr>
          <w:lang w:val="zh-CN"/>
        </w:rPr>
      </w:pPr>
    </w:p>
    <w:p w14:paraId="753D98B6" w14:textId="77777777" w:rsidR="00D01AA6" w:rsidRDefault="00D01AA6">
      <w:pPr>
        <w:pStyle w:val="a3"/>
        <w:spacing w:before="93"/>
        <w:ind w:firstLineChars="200" w:firstLine="600"/>
        <w:rPr>
          <w:lang w:val="zh-CN"/>
        </w:rPr>
      </w:pPr>
    </w:p>
    <w:p w14:paraId="57187780" w14:textId="77777777" w:rsidR="00D01AA6" w:rsidRDefault="00D01AA6">
      <w:pPr>
        <w:pStyle w:val="a3"/>
        <w:spacing w:before="93"/>
        <w:ind w:firstLineChars="200" w:firstLine="600"/>
        <w:rPr>
          <w:lang w:val="zh-CN"/>
        </w:rPr>
      </w:pPr>
    </w:p>
    <w:p w14:paraId="60AD4D3A" w14:textId="77777777" w:rsidR="00D01AA6" w:rsidRDefault="00D01AA6">
      <w:pPr>
        <w:pStyle w:val="a3"/>
        <w:spacing w:before="93"/>
        <w:ind w:firstLineChars="200" w:firstLine="600"/>
        <w:rPr>
          <w:lang w:val="zh-CN"/>
        </w:rPr>
      </w:pPr>
    </w:p>
    <w:p w14:paraId="7378A134" w14:textId="77777777" w:rsidR="00D01AA6" w:rsidRDefault="00D01AA6">
      <w:pPr>
        <w:pStyle w:val="a3"/>
        <w:spacing w:before="93"/>
        <w:ind w:firstLineChars="200" w:firstLine="600"/>
        <w:rPr>
          <w:lang w:val="zh-CN"/>
        </w:rPr>
      </w:pPr>
    </w:p>
    <w:p w14:paraId="75CD40BF" w14:textId="77777777" w:rsidR="00D01AA6" w:rsidRDefault="00D01AA6">
      <w:pPr>
        <w:pStyle w:val="a3"/>
        <w:spacing w:before="93"/>
        <w:ind w:firstLineChars="200" w:firstLine="600"/>
        <w:rPr>
          <w:lang w:val="zh-CN"/>
        </w:rPr>
      </w:pPr>
    </w:p>
    <w:p w14:paraId="5E39DF23" w14:textId="77777777" w:rsidR="00D01AA6" w:rsidRDefault="00D01AA6">
      <w:pPr>
        <w:pStyle w:val="a3"/>
        <w:spacing w:before="93"/>
        <w:ind w:firstLineChars="200" w:firstLine="600"/>
        <w:rPr>
          <w:lang w:val="zh-CN"/>
        </w:rPr>
      </w:pPr>
    </w:p>
    <w:p w14:paraId="6D323660" w14:textId="77777777" w:rsidR="00D01AA6" w:rsidRDefault="00D01AA6">
      <w:pPr>
        <w:pStyle w:val="a3"/>
        <w:spacing w:before="93"/>
        <w:ind w:firstLineChars="200" w:firstLine="600"/>
        <w:rPr>
          <w:lang w:val="zh-CN"/>
        </w:rPr>
      </w:pPr>
    </w:p>
    <w:p w14:paraId="3A5CF9F6" w14:textId="77777777" w:rsidR="00D01AA6" w:rsidRDefault="00D01AA6">
      <w:pPr>
        <w:pStyle w:val="a3"/>
        <w:spacing w:before="93"/>
        <w:ind w:firstLineChars="200" w:firstLine="600"/>
        <w:rPr>
          <w:lang w:val="zh-CN"/>
        </w:rPr>
      </w:pPr>
    </w:p>
    <w:p w14:paraId="1BEE1A3A" w14:textId="77777777" w:rsidR="00D01AA6" w:rsidRDefault="00D01AA6">
      <w:pPr>
        <w:pStyle w:val="a3"/>
        <w:spacing w:before="93"/>
        <w:ind w:firstLineChars="200" w:firstLine="600"/>
        <w:rPr>
          <w:lang w:val="zh-CN"/>
        </w:rPr>
      </w:pPr>
    </w:p>
    <w:p w14:paraId="1870DDF7" w14:textId="77777777" w:rsidR="00D01AA6" w:rsidRDefault="00000000">
      <w:pPr>
        <w:pStyle w:val="a3"/>
        <w:spacing w:before="93"/>
        <w:jc w:val="center"/>
        <w:rPr>
          <w:rFonts w:ascii="方正小标宋简体" w:eastAsia="方正小标宋简体" w:hAnsi="方正小标宋简体" w:cs="方正小标宋简体"/>
          <w:sz w:val="44"/>
          <w:szCs w:val="44"/>
          <w:lang w:val="zh-CN"/>
        </w:rPr>
      </w:pPr>
      <w:r>
        <w:rPr>
          <w:rFonts w:ascii="方正小标宋简体" w:eastAsia="方正小标宋简体" w:hAnsi="方正小标宋简体" w:cs="方正小标宋简体" w:hint="eastAsia"/>
          <w:sz w:val="44"/>
          <w:szCs w:val="44"/>
          <w:lang w:val="zh-CN"/>
        </w:rPr>
        <w:t>2021年整理、搜集民间文学项目绩效自评报告</w:t>
      </w:r>
    </w:p>
    <w:p w14:paraId="3D001DBA" w14:textId="77777777" w:rsidR="00D01AA6" w:rsidRDefault="00000000">
      <w:pPr>
        <w:pStyle w:val="a3"/>
        <w:spacing w:before="93"/>
        <w:rPr>
          <w:lang w:val="zh-CN"/>
        </w:rPr>
      </w:pPr>
      <w:r>
        <w:rPr>
          <w:rFonts w:hint="eastAsia"/>
          <w:lang w:val="zh-CN"/>
        </w:rPr>
        <w:t>一、项目概况</w:t>
      </w:r>
    </w:p>
    <w:p w14:paraId="48814FF9" w14:textId="77777777" w:rsidR="00D01AA6" w:rsidRDefault="00000000">
      <w:pPr>
        <w:pStyle w:val="a3"/>
        <w:spacing w:before="93"/>
        <w:rPr>
          <w:lang w:val="zh-CN"/>
        </w:rPr>
      </w:pPr>
      <w:r>
        <w:rPr>
          <w:rFonts w:hint="eastAsia"/>
          <w:lang w:val="zh-CN"/>
        </w:rPr>
        <w:t>（一）项目资金申报及批复情况。</w:t>
      </w:r>
    </w:p>
    <w:p w14:paraId="23E5D069" w14:textId="77777777" w:rsidR="00D01AA6" w:rsidRDefault="00000000">
      <w:pPr>
        <w:pStyle w:val="a3"/>
        <w:spacing w:before="93"/>
        <w:rPr>
          <w:lang w:val="zh-CN"/>
        </w:rPr>
      </w:pPr>
      <w:r>
        <w:rPr>
          <w:rFonts w:hint="eastAsia"/>
        </w:rPr>
        <w:t xml:space="preserve">    </w:t>
      </w:r>
      <w:r>
        <w:rPr>
          <w:rFonts w:hint="eastAsia"/>
          <w:lang w:val="zh-CN"/>
        </w:rPr>
        <w:t>年初预算数申报1.8万元，财政批复预算1.8万元。</w:t>
      </w:r>
    </w:p>
    <w:p w14:paraId="42791487" w14:textId="77777777" w:rsidR="00D01AA6" w:rsidRDefault="00000000">
      <w:pPr>
        <w:pStyle w:val="a3"/>
        <w:spacing w:before="93"/>
        <w:rPr>
          <w:lang w:val="zh-CN"/>
        </w:rPr>
      </w:pPr>
      <w:r>
        <w:rPr>
          <w:rFonts w:hint="eastAsia"/>
          <w:lang w:val="zh-CN"/>
        </w:rPr>
        <w:t>（二）项目绩效目标。</w:t>
      </w:r>
    </w:p>
    <w:p w14:paraId="3A15445A" w14:textId="77777777" w:rsidR="00D01AA6" w:rsidRDefault="00000000">
      <w:pPr>
        <w:pStyle w:val="a3"/>
        <w:spacing w:before="93"/>
        <w:rPr>
          <w:lang w:val="zh-CN"/>
        </w:rPr>
      </w:pPr>
      <w:r>
        <w:rPr>
          <w:rFonts w:hint="eastAsia"/>
          <w:lang w:val="zh-CN"/>
        </w:rPr>
        <w:t>1.项目主要内容</w:t>
      </w:r>
    </w:p>
    <w:p w14:paraId="5CEC0B35" w14:textId="77777777" w:rsidR="00D01AA6" w:rsidRDefault="00000000">
      <w:pPr>
        <w:pStyle w:val="a3"/>
        <w:spacing w:before="93"/>
        <w:rPr>
          <w:lang w:val="zh-CN"/>
        </w:rPr>
      </w:pPr>
      <w:r>
        <w:rPr>
          <w:rFonts w:hint="eastAsia"/>
        </w:rPr>
        <w:t xml:space="preserve">    </w:t>
      </w:r>
      <w:r>
        <w:rPr>
          <w:rFonts w:hint="eastAsia"/>
          <w:lang w:val="zh-CN"/>
        </w:rPr>
        <w:t>2021年搜集整理民间文化</w:t>
      </w:r>
    </w:p>
    <w:p w14:paraId="6676DA47" w14:textId="77777777" w:rsidR="00D01AA6" w:rsidRDefault="00000000">
      <w:pPr>
        <w:pStyle w:val="a3"/>
        <w:spacing w:before="93"/>
        <w:rPr>
          <w:lang w:val="zh-CN"/>
        </w:rPr>
      </w:pPr>
      <w:r>
        <w:rPr>
          <w:rFonts w:hint="eastAsia"/>
          <w:lang w:val="zh-CN"/>
        </w:rPr>
        <w:t>2.项目绩效目标</w:t>
      </w:r>
    </w:p>
    <w:p w14:paraId="78A0B074" w14:textId="77777777" w:rsidR="00D01AA6" w:rsidRDefault="00000000">
      <w:pPr>
        <w:pStyle w:val="a3"/>
        <w:spacing w:before="93"/>
        <w:rPr>
          <w:lang w:val="zh-CN"/>
        </w:rPr>
      </w:pPr>
      <w:r>
        <w:rPr>
          <w:rFonts w:hint="eastAsia"/>
        </w:rPr>
        <w:t xml:space="preserve">    </w:t>
      </w:r>
      <w:r>
        <w:rPr>
          <w:rFonts w:hint="eastAsia"/>
          <w:lang w:val="zh-CN"/>
        </w:rPr>
        <w:t>数量指标“克智资料”的指标值为“收集克智资料1.5万字”；数量指标“收集神话故事”的指标值为“收集神话故事1个”；数量指标“收集格言故事”的指标值为“收集格言故事2个”；数量指标“收集民歌”的指标值为“收集民歌2首”；数量指标“收集谚语故事”的指标值为“收集谚语故事2个”；数量指标</w:t>
      </w:r>
      <w:r>
        <w:rPr>
          <w:rFonts w:hint="eastAsia"/>
          <w:lang w:val="zh-CN"/>
        </w:rPr>
        <w:lastRenderedPageBreak/>
        <w:t>“收集童谣”的指标值为“收集童谣2首”；时效指标“完成时间”的指标值为“2021年年底”；服务对象满意度指标“群众满意度”的指标值为“群众满意度达到95%”。</w:t>
      </w:r>
    </w:p>
    <w:p w14:paraId="479E4A1A" w14:textId="77777777" w:rsidR="00D01AA6" w:rsidRDefault="00000000">
      <w:pPr>
        <w:pStyle w:val="a3"/>
        <w:spacing w:before="93"/>
        <w:rPr>
          <w:lang w:val="zh-CN"/>
        </w:rPr>
      </w:pPr>
      <w:r>
        <w:rPr>
          <w:rFonts w:hint="eastAsia"/>
        </w:rPr>
        <w:t xml:space="preserve">    </w:t>
      </w:r>
      <w:r>
        <w:rPr>
          <w:rFonts w:hint="eastAsia"/>
          <w:lang w:val="zh-CN"/>
        </w:rPr>
        <w:t>项目制定了切实可行的目标计划，量化具体、细化可行，项目实施进度计划合理，具体绩效目标见财政项目支出绩效评价指标体系。</w:t>
      </w:r>
    </w:p>
    <w:p w14:paraId="1E8D99F2" w14:textId="77777777" w:rsidR="00D01AA6" w:rsidRDefault="00000000">
      <w:pPr>
        <w:pStyle w:val="a3"/>
        <w:spacing w:before="93"/>
        <w:rPr>
          <w:lang w:val="zh-CN"/>
        </w:rPr>
      </w:pPr>
      <w:r>
        <w:rPr>
          <w:rFonts w:hint="eastAsia"/>
          <w:lang w:val="zh-CN"/>
        </w:rPr>
        <w:t>（三）项目资金申报相符性。</w:t>
      </w:r>
    </w:p>
    <w:p w14:paraId="39578BDE" w14:textId="77777777" w:rsidR="00D01AA6" w:rsidRDefault="00000000">
      <w:pPr>
        <w:pStyle w:val="a3"/>
        <w:spacing w:before="93"/>
        <w:rPr>
          <w:lang w:val="zh-CN"/>
        </w:rPr>
      </w:pPr>
      <w:r>
        <w:rPr>
          <w:rFonts w:hint="eastAsia"/>
        </w:rPr>
        <w:t xml:space="preserve">    </w:t>
      </w:r>
      <w:r>
        <w:rPr>
          <w:rFonts w:hint="eastAsia"/>
          <w:lang w:val="zh-CN"/>
        </w:rPr>
        <w:t>各项目申报内容与具体实施内容相符，申报目标合理可行。</w:t>
      </w:r>
    </w:p>
    <w:p w14:paraId="6E9D8AE7" w14:textId="77777777" w:rsidR="00D01AA6" w:rsidRDefault="00000000">
      <w:pPr>
        <w:pStyle w:val="a3"/>
        <w:spacing w:before="93"/>
        <w:rPr>
          <w:lang w:val="zh-CN"/>
        </w:rPr>
      </w:pPr>
      <w:r>
        <w:rPr>
          <w:rFonts w:hint="eastAsia"/>
          <w:lang w:val="zh-CN"/>
        </w:rPr>
        <w:t>二、项目实施及管理情况</w:t>
      </w:r>
    </w:p>
    <w:p w14:paraId="2CE6B628" w14:textId="77777777" w:rsidR="00D01AA6" w:rsidRDefault="00000000">
      <w:pPr>
        <w:pStyle w:val="a3"/>
        <w:spacing w:before="93"/>
        <w:rPr>
          <w:lang w:val="zh-CN"/>
        </w:rPr>
      </w:pPr>
      <w:r>
        <w:rPr>
          <w:rFonts w:hint="eastAsia"/>
          <w:lang w:val="zh-CN"/>
        </w:rPr>
        <w:t>（一）资金计划、到位及使用情况。</w:t>
      </w:r>
    </w:p>
    <w:p w14:paraId="29E6E849" w14:textId="77777777" w:rsidR="00D01AA6" w:rsidRDefault="00000000">
      <w:pPr>
        <w:pStyle w:val="a3"/>
        <w:spacing w:before="93"/>
        <w:rPr>
          <w:lang w:val="zh-CN"/>
        </w:rPr>
      </w:pPr>
      <w:r>
        <w:rPr>
          <w:rFonts w:hint="eastAsia"/>
          <w:lang w:val="zh-CN"/>
        </w:rPr>
        <w:t>1.资金计划及到位</w:t>
      </w:r>
    </w:p>
    <w:p w14:paraId="1A6A0480" w14:textId="77777777" w:rsidR="00D01AA6" w:rsidRDefault="00000000">
      <w:pPr>
        <w:pStyle w:val="a3"/>
        <w:spacing w:before="93"/>
        <w:rPr>
          <w:lang w:val="zh-CN"/>
        </w:rPr>
      </w:pPr>
      <w:r>
        <w:rPr>
          <w:rFonts w:hint="eastAsia"/>
        </w:rPr>
        <w:t xml:space="preserve">    </w:t>
      </w:r>
      <w:r>
        <w:rPr>
          <w:rFonts w:hint="eastAsia"/>
          <w:lang w:val="zh-CN"/>
        </w:rPr>
        <w:t>资金批复1.8万元，实际到位1.8万元，到位率为100%。</w:t>
      </w:r>
    </w:p>
    <w:p w14:paraId="703B5D04" w14:textId="77777777" w:rsidR="00D01AA6" w:rsidRDefault="00000000">
      <w:pPr>
        <w:pStyle w:val="a3"/>
        <w:spacing w:before="93"/>
        <w:rPr>
          <w:lang w:val="zh-CN"/>
        </w:rPr>
      </w:pPr>
      <w:r>
        <w:rPr>
          <w:rFonts w:hint="eastAsia"/>
          <w:lang w:val="zh-CN"/>
        </w:rPr>
        <w:t>2.资金使用</w:t>
      </w:r>
    </w:p>
    <w:p w14:paraId="306C5D56" w14:textId="77777777" w:rsidR="00D01AA6" w:rsidRDefault="00000000">
      <w:pPr>
        <w:pStyle w:val="a3"/>
        <w:spacing w:before="93"/>
        <w:rPr>
          <w:lang w:val="zh-CN"/>
        </w:rPr>
      </w:pPr>
      <w:r>
        <w:rPr>
          <w:rFonts w:hint="eastAsia"/>
        </w:rPr>
        <w:t xml:space="preserve">    </w:t>
      </w:r>
      <w:r>
        <w:rPr>
          <w:rFonts w:hint="eastAsia"/>
          <w:lang w:val="zh-CN"/>
        </w:rPr>
        <w:t>到目前为止项目共投入资金1.8万元，资金执行率为100.00%。资金开支范围、标准及支付进度,支付依据合规合法,资金支付与预算相符。</w:t>
      </w:r>
    </w:p>
    <w:p w14:paraId="484581E3" w14:textId="77777777" w:rsidR="00D01AA6" w:rsidRDefault="00000000">
      <w:pPr>
        <w:pStyle w:val="a3"/>
        <w:spacing w:before="93"/>
        <w:rPr>
          <w:lang w:val="zh-CN"/>
        </w:rPr>
      </w:pPr>
      <w:r>
        <w:rPr>
          <w:rFonts w:hint="eastAsia"/>
          <w:lang w:val="zh-CN"/>
        </w:rPr>
        <w:t>（二）项目财务管理情况。</w:t>
      </w:r>
    </w:p>
    <w:p w14:paraId="2D94AC8B" w14:textId="77777777" w:rsidR="00D01AA6" w:rsidRDefault="00000000">
      <w:pPr>
        <w:pStyle w:val="a3"/>
        <w:spacing w:before="93"/>
        <w:rPr>
          <w:lang w:val="zh-CN"/>
        </w:rPr>
      </w:pPr>
      <w:r>
        <w:rPr>
          <w:rFonts w:hint="eastAsia"/>
        </w:rPr>
        <w:t xml:space="preserve">    </w:t>
      </w:r>
      <w:r>
        <w:rPr>
          <w:rFonts w:hint="eastAsia"/>
          <w:lang w:val="zh-CN"/>
        </w:rPr>
        <w:t>项目经费严格按照财务管理制度进行管理，保证专款专用，不存在截留、滞留、挤占、挪用、套取、虚报、冒领的问题，资金发放复查由财务人员按照财务制度进行资金的审核、支付和核</w:t>
      </w:r>
      <w:r>
        <w:rPr>
          <w:rFonts w:hint="eastAsia"/>
          <w:lang w:val="zh-CN"/>
        </w:rPr>
        <w:lastRenderedPageBreak/>
        <w:t>算，所有支出均以转账方式进行，在具体支付时，具备了资金发票、合同、验收清单等相关材料，手续是完善的，不存在虚假会计凭证的情况，会计严格执行财务管理制度，财务处理及时，核算规范。</w:t>
      </w:r>
    </w:p>
    <w:p w14:paraId="3BAC2A7C" w14:textId="77777777" w:rsidR="00D01AA6" w:rsidRDefault="00000000">
      <w:pPr>
        <w:pStyle w:val="a3"/>
        <w:spacing w:before="93"/>
        <w:rPr>
          <w:lang w:val="zh-CN"/>
        </w:rPr>
      </w:pPr>
      <w:r>
        <w:rPr>
          <w:rFonts w:hint="eastAsia"/>
          <w:lang w:val="zh-CN"/>
        </w:rPr>
        <w:t>（三）项目组织实施情况。</w:t>
      </w:r>
    </w:p>
    <w:p w14:paraId="56E6B6A8" w14:textId="77777777" w:rsidR="00D01AA6" w:rsidRDefault="00000000">
      <w:pPr>
        <w:pStyle w:val="a3"/>
        <w:spacing w:before="93"/>
        <w:rPr>
          <w:lang w:val="zh-CN"/>
        </w:rPr>
      </w:pPr>
      <w:r>
        <w:rPr>
          <w:rFonts w:hint="eastAsia"/>
          <w:lang w:val="zh-CN"/>
        </w:rPr>
        <w:t>1.机构设置。</w:t>
      </w:r>
    </w:p>
    <w:p w14:paraId="6BFA1C2D" w14:textId="77777777" w:rsidR="00D01AA6" w:rsidRDefault="00000000">
      <w:pPr>
        <w:pStyle w:val="a3"/>
        <w:spacing w:before="93"/>
        <w:rPr>
          <w:lang w:val="zh-CN"/>
        </w:rPr>
      </w:pPr>
      <w:r>
        <w:rPr>
          <w:rFonts w:hint="eastAsia"/>
        </w:rPr>
        <w:t xml:space="preserve">    </w:t>
      </w:r>
      <w:r>
        <w:rPr>
          <w:rFonts w:hint="eastAsia"/>
          <w:lang w:val="zh-CN"/>
        </w:rPr>
        <w:t>财政资金主管部门为州文联，负责安排预算资金，预算批复后拨付资金，负责对资金使用情况进行监督检查。</w:t>
      </w:r>
    </w:p>
    <w:p w14:paraId="7517DFAF" w14:textId="77777777" w:rsidR="00D01AA6" w:rsidRDefault="00000000">
      <w:pPr>
        <w:pStyle w:val="a3"/>
        <w:spacing w:before="93"/>
        <w:rPr>
          <w:lang w:val="zh-CN"/>
        </w:rPr>
      </w:pPr>
      <w:r>
        <w:rPr>
          <w:rFonts w:hint="eastAsia"/>
        </w:rPr>
        <w:t xml:space="preserve">    </w:t>
      </w:r>
      <w:r>
        <w:rPr>
          <w:rFonts w:hint="eastAsia"/>
          <w:lang w:val="zh-CN"/>
        </w:rPr>
        <w:t>项目的执行单位为州文联，主要负责项目的具体实施、人员安排、风险管控、预算执行等，负责对按政府采购方式确定服务主体，并对项目服务单位进行监管。</w:t>
      </w:r>
    </w:p>
    <w:p w14:paraId="2FED27CC" w14:textId="77777777" w:rsidR="00D01AA6" w:rsidRDefault="00000000">
      <w:pPr>
        <w:pStyle w:val="a3"/>
        <w:spacing w:before="93"/>
        <w:rPr>
          <w:lang w:val="zh-CN"/>
        </w:rPr>
      </w:pPr>
      <w:r>
        <w:rPr>
          <w:rFonts w:hint="eastAsia"/>
        </w:rPr>
        <w:t xml:space="preserve">  </w:t>
      </w:r>
      <w:r>
        <w:rPr>
          <w:rFonts w:hint="eastAsia"/>
          <w:lang w:val="zh-CN"/>
        </w:rPr>
        <w:t>2.项目监管。</w:t>
      </w:r>
    </w:p>
    <w:p w14:paraId="381C9440" w14:textId="77777777" w:rsidR="00D01AA6" w:rsidRDefault="00000000">
      <w:pPr>
        <w:pStyle w:val="a3"/>
        <w:spacing w:before="93"/>
        <w:rPr>
          <w:lang w:val="zh-CN"/>
        </w:rPr>
      </w:pPr>
      <w:r>
        <w:rPr>
          <w:rFonts w:hint="eastAsia"/>
          <w:lang w:val="zh-CN"/>
        </w:rPr>
        <w:t>项目实施单位严格按照相关业务管理办法进行项目实施管理，按照项目计划进度实施，专项资金做到了专款专用，经费支出符合规范。</w:t>
      </w:r>
    </w:p>
    <w:p w14:paraId="3B703E9B" w14:textId="77777777" w:rsidR="00D01AA6" w:rsidRDefault="00000000">
      <w:pPr>
        <w:pStyle w:val="a3"/>
        <w:spacing w:before="93"/>
        <w:rPr>
          <w:lang w:val="zh-CN"/>
        </w:rPr>
      </w:pPr>
      <w:r>
        <w:rPr>
          <w:rFonts w:hint="eastAsia"/>
          <w:lang w:val="zh-CN"/>
        </w:rPr>
        <w:t>3.项目执行制度。</w:t>
      </w:r>
    </w:p>
    <w:p w14:paraId="5C1E949A" w14:textId="77777777" w:rsidR="00D01AA6" w:rsidRDefault="00000000">
      <w:pPr>
        <w:pStyle w:val="a3"/>
        <w:spacing w:before="93"/>
        <w:rPr>
          <w:lang w:val="zh-CN"/>
        </w:rPr>
      </w:pPr>
      <w:r>
        <w:rPr>
          <w:rFonts w:hint="eastAsia"/>
        </w:rPr>
        <w:t xml:space="preserve">    </w:t>
      </w:r>
      <w:r>
        <w:rPr>
          <w:rFonts w:hint="eastAsia"/>
          <w:lang w:val="zh-CN"/>
        </w:rPr>
        <w:t>为加强项目管理，确保项目落到实处，充分发挥专项资金的引导作用，主要通过对项目实施情况进行不定期进度检查等现场监管手段，监管各项目工作开展情况，同时对项目资金到位情况和使用情况进行督促检查，对发现的违规现象及时纠正，确保项目资金及时到位，确保项目承担单位按照资金管理办法支出范围</w:t>
      </w:r>
      <w:r>
        <w:rPr>
          <w:rFonts w:hint="eastAsia"/>
          <w:lang w:val="zh-CN"/>
        </w:rPr>
        <w:lastRenderedPageBreak/>
        <w:t>进行支出，保证了项目承担单位做到专款专用。在规范管理监督下，项目承担单位建立了规范的财务制度，项目按照计划规范实施，保障了项目的顺利实施。</w:t>
      </w:r>
    </w:p>
    <w:p w14:paraId="1C37BF0D" w14:textId="77777777" w:rsidR="00D01AA6" w:rsidRDefault="00000000">
      <w:pPr>
        <w:pStyle w:val="a3"/>
        <w:spacing w:before="93"/>
        <w:rPr>
          <w:lang w:val="zh-CN"/>
        </w:rPr>
      </w:pPr>
      <w:r>
        <w:rPr>
          <w:rFonts w:hint="eastAsia"/>
          <w:lang w:val="zh-CN"/>
        </w:rPr>
        <w:t>三、项目绩效情况</w:t>
      </w:r>
    </w:p>
    <w:p w14:paraId="21A906CE" w14:textId="77777777" w:rsidR="00D01AA6" w:rsidRDefault="00000000">
      <w:pPr>
        <w:pStyle w:val="a3"/>
        <w:spacing w:before="93"/>
        <w:rPr>
          <w:lang w:val="zh-CN"/>
        </w:rPr>
      </w:pPr>
      <w:r>
        <w:rPr>
          <w:rFonts w:hint="eastAsia"/>
          <w:lang w:val="zh-CN"/>
        </w:rPr>
        <w:t>（一）项目完成情况。</w:t>
      </w:r>
    </w:p>
    <w:p w14:paraId="6C76BF56" w14:textId="77777777" w:rsidR="00D01AA6" w:rsidRDefault="00000000">
      <w:pPr>
        <w:pStyle w:val="a3"/>
        <w:spacing w:before="93"/>
        <w:rPr>
          <w:lang w:val="zh-CN"/>
        </w:rPr>
      </w:pPr>
      <w:r>
        <w:rPr>
          <w:rFonts w:hint="eastAsia"/>
        </w:rPr>
        <w:t xml:space="preserve">    </w:t>
      </w:r>
      <w:r>
        <w:rPr>
          <w:rFonts w:hint="eastAsia"/>
          <w:lang w:val="zh-CN"/>
        </w:rPr>
        <w:t>本项目共7条产出指标，其中：数量指标“克智资料”的年度指标值为“收集克智资料1.5万字”，实际完成值为“收集克智资料1.5万字”；数量指标“收集神话故事”的年度指标值为“收集神话故事1个”，实际完成值为“收集神话故事1个”；数量指标“收集格言故事”的年度指标值为“收集格言故事2个”，实际完成值为“收集格言故事2个”；数量指标“收集民歌”的年度指标值为“收集民歌2首”，实际完成值为“收集民歌2首”；数量指标“收集谚语故事”的年度指标值为“收集谚语故事2个”，实际完成值为“收集谚语故事2个”；数量指标“收集童谣”的年度指标值为“收集童谣2首”，实际完成值为“收集童谣2首”；时效指标“完成时间”的年度指标值为“2021年年底”，实际完成值为“2021年年底”。目前项目已完成验收，成本控制在项目计划内，完成了项目计划完成目标。</w:t>
      </w:r>
    </w:p>
    <w:p w14:paraId="2297306B" w14:textId="77777777" w:rsidR="00D01AA6" w:rsidRDefault="00000000">
      <w:pPr>
        <w:pStyle w:val="a3"/>
        <w:spacing w:before="93"/>
        <w:rPr>
          <w:lang w:val="zh-CN"/>
        </w:rPr>
      </w:pPr>
      <w:r>
        <w:rPr>
          <w:rFonts w:hint="eastAsia"/>
          <w:lang w:val="zh-CN"/>
        </w:rPr>
        <w:t xml:space="preserve">     四、问题及建议</w:t>
      </w:r>
    </w:p>
    <w:p w14:paraId="1D293B2F" w14:textId="77777777" w:rsidR="00D01AA6" w:rsidRDefault="00000000">
      <w:pPr>
        <w:pStyle w:val="a3"/>
        <w:spacing w:before="93"/>
        <w:rPr>
          <w:lang w:val="zh-CN"/>
        </w:rPr>
      </w:pPr>
      <w:r>
        <w:rPr>
          <w:rFonts w:hint="eastAsia"/>
          <w:lang w:val="zh-CN"/>
        </w:rPr>
        <w:t xml:space="preserve">   （一）存在的问题。</w:t>
      </w:r>
    </w:p>
    <w:p w14:paraId="51D04A66" w14:textId="77777777" w:rsidR="00D01AA6" w:rsidRDefault="00000000">
      <w:pPr>
        <w:pStyle w:val="a3"/>
        <w:spacing w:before="93"/>
        <w:rPr>
          <w:lang w:val="zh-CN"/>
        </w:rPr>
      </w:pPr>
      <w:r>
        <w:rPr>
          <w:rFonts w:hint="eastAsia"/>
          <w:lang w:val="zh-CN"/>
        </w:rPr>
        <w:t xml:space="preserve">    无</w:t>
      </w:r>
    </w:p>
    <w:p w14:paraId="3EC2FA1B" w14:textId="77777777" w:rsidR="00D01AA6" w:rsidRDefault="00000000">
      <w:pPr>
        <w:pStyle w:val="a3"/>
        <w:spacing w:before="93"/>
        <w:rPr>
          <w:lang w:val="zh-CN"/>
        </w:rPr>
      </w:pPr>
      <w:r>
        <w:rPr>
          <w:rFonts w:hint="eastAsia"/>
        </w:rPr>
        <w:lastRenderedPageBreak/>
        <w:t xml:space="preserve">   </w:t>
      </w:r>
      <w:r>
        <w:rPr>
          <w:rFonts w:hint="eastAsia"/>
          <w:lang w:val="zh-CN"/>
        </w:rPr>
        <w:t>（二）相关建议。</w:t>
      </w:r>
    </w:p>
    <w:p w14:paraId="5901A97C" w14:textId="77777777" w:rsidR="00D01AA6" w:rsidRDefault="00000000">
      <w:pPr>
        <w:pStyle w:val="a3"/>
        <w:spacing w:before="93"/>
        <w:ind w:firstLineChars="200" w:firstLine="600"/>
        <w:rPr>
          <w:lang w:val="zh-CN"/>
        </w:rPr>
      </w:pPr>
      <w:r>
        <w:rPr>
          <w:rFonts w:hint="eastAsia"/>
          <w:lang w:val="zh-CN"/>
        </w:rPr>
        <w:t>无</w:t>
      </w:r>
    </w:p>
    <w:p w14:paraId="2FCFE56C" w14:textId="77777777" w:rsidR="00D01AA6" w:rsidRDefault="00D01AA6">
      <w:pPr>
        <w:pStyle w:val="a3"/>
        <w:spacing w:before="93"/>
        <w:ind w:firstLineChars="200" w:firstLine="600"/>
        <w:rPr>
          <w:lang w:val="zh-CN"/>
        </w:rPr>
      </w:pPr>
    </w:p>
    <w:p w14:paraId="55A11EE0" w14:textId="77777777" w:rsidR="00D01AA6" w:rsidRDefault="00D01AA6">
      <w:pPr>
        <w:pStyle w:val="a3"/>
        <w:spacing w:before="93"/>
        <w:ind w:firstLineChars="200" w:firstLine="600"/>
        <w:rPr>
          <w:lang w:val="zh-CN"/>
        </w:rPr>
      </w:pPr>
    </w:p>
    <w:p w14:paraId="212A4B86" w14:textId="77777777" w:rsidR="00D01AA6" w:rsidRDefault="00D01AA6">
      <w:pPr>
        <w:pStyle w:val="a3"/>
        <w:spacing w:before="93"/>
        <w:ind w:firstLineChars="200" w:firstLine="600"/>
        <w:rPr>
          <w:lang w:val="zh-CN"/>
        </w:rPr>
      </w:pPr>
    </w:p>
    <w:tbl>
      <w:tblPr>
        <w:tblpPr w:leftFromText="180" w:rightFromText="180" w:vertAnchor="text" w:horzAnchor="page" w:tblpX="1281" w:tblpY="660"/>
        <w:tblOverlap w:val="never"/>
        <w:tblW w:w="9811" w:type="dxa"/>
        <w:tblLayout w:type="fixed"/>
        <w:tblLook w:val="04A0" w:firstRow="1" w:lastRow="0" w:firstColumn="1" w:lastColumn="0" w:noHBand="0" w:noVBand="1"/>
      </w:tblPr>
      <w:tblGrid>
        <w:gridCol w:w="1976"/>
        <w:gridCol w:w="1142"/>
        <w:gridCol w:w="1635"/>
        <w:gridCol w:w="1189"/>
        <w:gridCol w:w="1224"/>
        <w:gridCol w:w="2409"/>
        <w:gridCol w:w="236"/>
      </w:tblGrid>
      <w:tr w:rsidR="00D01AA6" w14:paraId="1520FA58" w14:textId="77777777">
        <w:tblPrEx>
          <w:tblCellMar>
            <w:top w:w="0" w:type="dxa"/>
            <w:bottom w:w="0" w:type="dxa"/>
          </w:tblCellMar>
        </w:tblPrEx>
        <w:trPr>
          <w:trHeight w:val="675"/>
        </w:trPr>
        <w:tc>
          <w:tcPr>
            <w:tcW w:w="9575" w:type="dxa"/>
            <w:gridSpan w:val="6"/>
            <w:tcBorders>
              <w:top w:val="nil"/>
              <w:left w:val="nil"/>
              <w:bottom w:val="nil"/>
              <w:right w:val="nil"/>
            </w:tcBorders>
            <w:vAlign w:val="center"/>
          </w:tcPr>
          <w:p w14:paraId="6EA0067B" w14:textId="77777777" w:rsidR="00D01AA6" w:rsidRDefault="00000000">
            <w:pPr>
              <w:widowControl/>
              <w:textAlignment w:val="center"/>
              <w:rPr>
                <w:rFonts w:ascii="宋体" w:hAnsi="宋体" w:cs="宋体"/>
                <w:b/>
                <w:sz w:val="32"/>
                <w:szCs w:val="32"/>
              </w:rPr>
            </w:pPr>
            <w:r>
              <w:rPr>
                <w:rFonts w:ascii="宋体" w:hAnsi="宋体" w:cs="宋体" w:hint="eastAsia"/>
                <w:b/>
                <w:sz w:val="32"/>
                <w:szCs w:val="32"/>
              </w:rPr>
              <w:t>2021年100万元以上（含）特定目标类部门预算项目绩效目标自评</w:t>
            </w:r>
          </w:p>
        </w:tc>
        <w:tc>
          <w:tcPr>
            <w:tcW w:w="236" w:type="dxa"/>
            <w:tcBorders>
              <w:top w:val="nil"/>
              <w:left w:val="nil"/>
              <w:bottom w:val="nil"/>
              <w:right w:val="nil"/>
            </w:tcBorders>
            <w:vAlign w:val="center"/>
          </w:tcPr>
          <w:p w14:paraId="0C257C5F" w14:textId="77777777" w:rsidR="00D01AA6" w:rsidRDefault="00D01AA6">
            <w:pPr>
              <w:widowControl/>
              <w:jc w:val="center"/>
              <w:textAlignment w:val="center"/>
              <w:rPr>
                <w:rFonts w:ascii="宋体" w:hAnsi="宋体" w:cs="宋体"/>
                <w:b/>
                <w:kern w:val="0"/>
                <w:sz w:val="32"/>
                <w:szCs w:val="32"/>
              </w:rPr>
            </w:pPr>
          </w:p>
        </w:tc>
      </w:tr>
      <w:tr w:rsidR="00D01AA6" w14:paraId="701F4A48" w14:textId="77777777">
        <w:tblPrEx>
          <w:tblCellMar>
            <w:top w:w="0" w:type="dxa"/>
            <w:bottom w:w="0" w:type="dxa"/>
          </w:tblCellMar>
        </w:tblPrEx>
        <w:trPr>
          <w:gridAfter w:val="1"/>
          <w:wAfter w:w="236" w:type="dxa"/>
          <w:trHeight w:val="254"/>
        </w:trPr>
        <w:tc>
          <w:tcPr>
            <w:tcW w:w="3118" w:type="dxa"/>
            <w:gridSpan w:val="2"/>
            <w:tcBorders>
              <w:top w:val="single" w:sz="4" w:space="0" w:color="000000"/>
              <w:left w:val="single" w:sz="4" w:space="0" w:color="000000"/>
              <w:bottom w:val="single" w:sz="4" w:space="0" w:color="000000"/>
              <w:right w:val="single" w:sz="4" w:space="0" w:color="000000"/>
            </w:tcBorders>
            <w:vAlign w:val="center"/>
          </w:tcPr>
          <w:p w14:paraId="2D30AD6E" w14:textId="77777777" w:rsidR="00D01AA6"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主管部门及代码</w:t>
            </w:r>
          </w:p>
        </w:tc>
        <w:tc>
          <w:tcPr>
            <w:tcW w:w="2824" w:type="dxa"/>
            <w:gridSpan w:val="2"/>
            <w:tcBorders>
              <w:top w:val="single" w:sz="4" w:space="0" w:color="000000"/>
              <w:left w:val="single" w:sz="4" w:space="0" w:color="000000"/>
              <w:bottom w:val="single" w:sz="4" w:space="0" w:color="000000"/>
              <w:right w:val="single" w:sz="4" w:space="0" w:color="000000"/>
            </w:tcBorders>
            <w:vAlign w:val="center"/>
          </w:tcPr>
          <w:p w14:paraId="3F7A15ED" w14:textId="77777777" w:rsidR="00D01AA6" w:rsidRDefault="00D01AA6">
            <w:pPr>
              <w:widowControl/>
              <w:spacing w:line="320" w:lineRule="exac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49A7EB15" w14:textId="77777777" w:rsidR="00D01AA6"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实施单位</w:t>
            </w:r>
          </w:p>
        </w:tc>
        <w:tc>
          <w:tcPr>
            <w:tcW w:w="2409" w:type="dxa"/>
            <w:tcBorders>
              <w:top w:val="single" w:sz="4" w:space="0" w:color="000000"/>
              <w:left w:val="single" w:sz="4" w:space="0" w:color="000000"/>
              <w:bottom w:val="single" w:sz="4" w:space="0" w:color="000000"/>
              <w:right w:val="single" w:sz="4" w:space="0" w:color="000000"/>
            </w:tcBorders>
            <w:vAlign w:val="center"/>
          </w:tcPr>
          <w:p w14:paraId="49F25121" w14:textId="77777777" w:rsidR="00D01AA6" w:rsidRDefault="00D01AA6">
            <w:pPr>
              <w:widowControl/>
              <w:spacing w:line="320" w:lineRule="exact"/>
              <w:jc w:val="center"/>
              <w:textAlignment w:val="center"/>
              <w:rPr>
                <w:rFonts w:ascii="宋体" w:hAnsi="宋体" w:cs="宋体"/>
                <w:sz w:val="24"/>
              </w:rPr>
            </w:pPr>
          </w:p>
        </w:tc>
      </w:tr>
      <w:tr w:rsidR="00D01AA6" w14:paraId="02FFE083" w14:textId="77777777">
        <w:tblPrEx>
          <w:tblCellMar>
            <w:top w:w="0" w:type="dxa"/>
            <w:bottom w:w="0" w:type="dxa"/>
          </w:tblCellMar>
        </w:tblPrEx>
        <w:trPr>
          <w:gridAfter w:val="1"/>
          <w:wAfter w:w="236" w:type="dxa"/>
          <w:trHeight w:val="341"/>
        </w:trPr>
        <w:tc>
          <w:tcPr>
            <w:tcW w:w="3118" w:type="dxa"/>
            <w:gridSpan w:val="2"/>
            <w:vMerge w:val="restart"/>
            <w:tcBorders>
              <w:top w:val="single" w:sz="4" w:space="0" w:color="000000"/>
              <w:left w:val="single" w:sz="4" w:space="0" w:color="000000"/>
              <w:bottom w:val="single" w:sz="4" w:space="0" w:color="000000"/>
              <w:right w:val="single" w:sz="4" w:space="0" w:color="000000"/>
            </w:tcBorders>
            <w:vAlign w:val="center"/>
          </w:tcPr>
          <w:p w14:paraId="7B71B08D" w14:textId="77777777" w:rsidR="00D01AA6"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项目预算</w:t>
            </w:r>
            <w:r>
              <w:rPr>
                <w:rFonts w:ascii="宋体" w:hAnsi="宋体" w:cs="宋体" w:hint="eastAsia"/>
                <w:kern w:val="0"/>
                <w:sz w:val="24"/>
              </w:rPr>
              <w:br/>
              <w:t>执行情况</w:t>
            </w:r>
            <w:r>
              <w:rPr>
                <w:rFonts w:ascii="宋体" w:hAnsi="宋体" w:cs="宋体" w:hint="eastAsia"/>
                <w:kern w:val="0"/>
                <w:sz w:val="24"/>
              </w:rPr>
              <w:br/>
              <w:t>（万元）</w:t>
            </w:r>
          </w:p>
        </w:tc>
        <w:tc>
          <w:tcPr>
            <w:tcW w:w="1635" w:type="dxa"/>
            <w:tcBorders>
              <w:top w:val="single" w:sz="4" w:space="0" w:color="000000"/>
              <w:left w:val="single" w:sz="4" w:space="0" w:color="000000"/>
              <w:bottom w:val="single" w:sz="4" w:space="0" w:color="000000"/>
              <w:right w:val="single" w:sz="4" w:space="0" w:color="000000"/>
            </w:tcBorders>
            <w:vAlign w:val="center"/>
          </w:tcPr>
          <w:p w14:paraId="538F0FED" w14:textId="77777777" w:rsidR="00D01AA6"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 xml:space="preserve"> 预算数：</w:t>
            </w:r>
          </w:p>
        </w:tc>
        <w:tc>
          <w:tcPr>
            <w:tcW w:w="1189" w:type="dxa"/>
            <w:tcBorders>
              <w:top w:val="single" w:sz="4" w:space="0" w:color="000000"/>
              <w:left w:val="single" w:sz="4" w:space="0" w:color="000000"/>
              <w:bottom w:val="single" w:sz="4" w:space="0" w:color="000000"/>
              <w:right w:val="single" w:sz="4" w:space="0" w:color="000000"/>
            </w:tcBorders>
            <w:vAlign w:val="center"/>
          </w:tcPr>
          <w:p w14:paraId="3262D6EF" w14:textId="77777777" w:rsidR="00D01AA6" w:rsidRDefault="00D01AA6">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14DC4E84" w14:textId="77777777" w:rsidR="00D01AA6"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 xml:space="preserve"> 执行数：</w:t>
            </w:r>
          </w:p>
        </w:tc>
        <w:tc>
          <w:tcPr>
            <w:tcW w:w="2409" w:type="dxa"/>
            <w:tcBorders>
              <w:top w:val="single" w:sz="4" w:space="0" w:color="000000"/>
              <w:left w:val="single" w:sz="4" w:space="0" w:color="000000"/>
              <w:bottom w:val="single" w:sz="4" w:space="0" w:color="000000"/>
              <w:right w:val="single" w:sz="4" w:space="0" w:color="000000"/>
            </w:tcBorders>
            <w:vAlign w:val="center"/>
          </w:tcPr>
          <w:p w14:paraId="62BCE090" w14:textId="77777777" w:rsidR="00D01AA6" w:rsidRDefault="00D01AA6">
            <w:pPr>
              <w:widowControl/>
              <w:spacing w:line="320" w:lineRule="exact"/>
              <w:jc w:val="right"/>
              <w:textAlignment w:val="center"/>
              <w:rPr>
                <w:rFonts w:ascii="宋体" w:hAnsi="宋体" w:cs="宋体"/>
                <w:sz w:val="24"/>
              </w:rPr>
            </w:pPr>
          </w:p>
        </w:tc>
      </w:tr>
      <w:tr w:rsidR="00D01AA6" w14:paraId="2EF57BB3" w14:textId="77777777">
        <w:tblPrEx>
          <w:tblCellMar>
            <w:top w:w="0" w:type="dxa"/>
            <w:bottom w:w="0" w:type="dxa"/>
          </w:tblCellMar>
        </w:tblPrEx>
        <w:trPr>
          <w:gridAfter w:val="1"/>
          <w:wAfter w:w="236" w:type="dxa"/>
          <w:trHeight w:val="555"/>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14:paraId="2D54C028" w14:textId="77777777" w:rsidR="00D01AA6" w:rsidRDefault="00D01AA6">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275C8BB6" w14:textId="77777777" w:rsidR="00D01AA6" w:rsidRDefault="00000000">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2468930B" w14:textId="77777777" w:rsidR="00D01AA6"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1189" w:type="dxa"/>
            <w:tcBorders>
              <w:top w:val="single" w:sz="4" w:space="0" w:color="000000"/>
              <w:left w:val="single" w:sz="4" w:space="0" w:color="000000"/>
              <w:bottom w:val="single" w:sz="4" w:space="0" w:color="000000"/>
              <w:right w:val="single" w:sz="4" w:space="0" w:color="000000"/>
            </w:tcBorders>
            <w:vAlign w:val="center"/>
          </w:tcPr>
          <w:p w14:paraId="5ADDE33D" w14:textId="77777777" w:rsidR="00D01AA6" w:rsidRDefault="00D01AA6">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0D6377A0" w14:textId="77777777" w:rsidR="00D01AA6" w:rsidRDefault="00000000">
            <w:pPr>
              <w:widowControl/>
              <w:spacing w:line="320" w:lineRule="exact"/>
              <w:jc w:val="left"/>
              <w:textAlignment w:val="center"/>
              <w:rPr>
                <w:rFonts w:ascii="宋体" w:hAnsi="宋体" w:cs="宋体"/>
                <w:kern w:val="0"/>
                <w:sz w:val="24"/>
              </w:rPr>
            </w:pPr>
            <w:r>
              <w:rPr>
                <w:rFonts w:ascii="宋体" w:hAnsi="宋体" w:cs="宋体" w:hint="eastAsia"/>
                <w:kern w:val="0"/>
                <w:sz w:val="24"/>
              </w:rPr>
              <w:t>其中：</w:t>
            </w:r>
          </w:p>
          <w:p w14:paraId="3BF0EE25" w14:textId="77777777" w:rsidR="00D01AA6"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财政拨款</w:t>
            </w:r>
          </w:p>
        </w:tc>
        <w:tc>
          <w:tcPr>
            <w:tcW w:w="2409" w:type="dxa"/>
            <w:tcBorders>
              <w:top w:val="single" w:sz="4" w:space="0" w:color="000000"/>
              <w:left w:val="single" w:sz="4" w:space="0" w:color="000000"/>
              <w:bottom w:val="single" w:sz="4" w:space="0" w:color="000000"/>
              <w:right w:val="single" w:sz="4" w:space="0" w:color="000000"/>
            </w:tcBorders>
            <w:vAlign w:val="center"/>
          </w:tcPr>
          <w:p w14:paraId="24ECE40D" w14:textId="77777777" w:rsidR="00D01AA6" w:rsidRDefault="00D01AA6">
            <w:pPr>
              <w:widowControl/>
              <w:spacing w:line="320" w:lineRule="exact"/>
              <w:textAlignment w:val="center"/>
              <w:rPr>
                <w:rFonts w:ascii="宋体" w:hAnsi="宋体" w:cs="宋体"/>
                <w:sz w:val="24"/>
              </w:rPr>
            </w:pPr>
          </w:p>
        </w:tc>
      </w:tr>
      <w:tr w:rsidR="00D01AA6" w14:paraId="73336A50" w14:textId="77777777">
        <w:tblPrEx>
          <w:tblCellMar>
            <w:top w:w="0" w:type="dxa"/>
            <w:bottom w:w="0" w:type="dxa"/>
          </w:tblCellMar>
        </w:tblPrEx>
        <w:trPr>
          <w:gridAfter w:val="1"/>
          <w:wAfter w:w="236" w:type="dxa"/>
          <w:trHeight w:val="341"/>
        </w:trPr>
        <w:tc>
          <w:tcPr>
            <w:tcW w:w="3118" w:type="dxa"/>
            <w:gridSpan w:val="2"/>
            <w:vMerge/>
            <w:tcBorders>
              <w:top w:val="single" w:sz="4" w:space="0" w:color="000000"/>
              <w:left w:val="single" w:sz="4" w:space="0" w:color="000000"/>
              <w:bottom w:val="single" w:sz="4" w:space="0" w:color="000000"/>
              <w:right w:val="single" w:sz="4" w:space="0" w:color="000000"/>
            </w:tcBorders>
            <w:vAlign w:val="center"/>
          </w:tcPr>
          <w:p w14:paraId="1A97459E" w14:textId="77777777" w:rsidR="00D01AA6" w:rsidRDefault="00D01AA6">
            <w:pPr>
              <w:spacing w:line="320" w:lineRule="exact"/>
              <w:jc w:val="center"/>
              <w:rPr>
                <w:rFonts w:ascii="宋体" w:hAnsi="宋体" w:cs="宋体"/>
                <w:sz w:val="24"/>
              </w:rPr>
            </w:pPr>
          </w:p>
        </w:tc>
        <w:tc>
          <w:tcPr>
            <w:tcW w:w="1635" w:type="dxa"/>
            <w:tcBorders>
              <w:top w:val="single" w:sz="4" w:space="0" w:color="000000"/>
              <w:left w:val="single" w:sz="4" w:space="0" w:color="000000"/>
              <w:bottom w:val="single" w:sz="4" w:space="0" w:color="000000"/>
              <w:right w:val="single" w:sz="4" w:space="0" w:color="000000"/>
            </w:tcBorders>
            <w:vAlign w:val="center"/>
          </w:tcPr>
          <w:p w14:paraId="38566BBB" w14:textId="77777777" w:rsidR="00D01AA6"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1189" w:type="dxa"/>
            <w:tcBorders>
              <w:top w:val="single" w:sz="4" w:space="0" w:color="000000"/>
              <w:left w:val="single" w:sz="4" w:space="0" w:color="000000"/>
              <w:bottom w:val="single" w:sz="4" w:space="0" w:color="000000"/>
              <w:right w:val="single" w:sz="4" w:space="0" w:color="000000"/>
            </w:tcBorders>
            <w:vAlign w:val="center"/>
          </w:tcPr>
          <w:p w14:paraId="666FBAA6" w14:textId="77777777" w:rsidR="00D01AA6" w:rsidRDefault="00D01AA6">
            <w:pPr>
              <w:widowControl/>
              <w:spacing w:line="320" w:lineRule="exact"/>
              <w:jc w:val="left"/>
              <w:textAlignment w:val="center"/>
              <w:rPr>
                <w:rFonts w:ascii="宋体" w:hAnsi="宋体" w:cs="宋体"/>
                <w:sz w:val="24"/>
              </w:rPr>
            </w:pPr>
          </w:p>
        </w:tc>
        <w:tc>
          <w:tcPr>
            <w:tcW w:w="1224" w:type="dxa"/>
            <w:tcBorders>
              <w:top w:val="single" w:sz="4" w:space="0" w:color="000000"/>
              <w:left w:val="single" w:sz="4" w:space="0" w:color="000000"/>
              <w:bottom w:val="single" w:sz="4" w:space="0" w:color="000000"/>
              <w:right w:val="single" w:sz="4" w:space="0" w:color="000000"/>
            </w:tcBorders>
            <w:vAlign w:val="center"/>
          </w:tcPr>
          <w:p w14:paraId="67586AB6" w14:textId="77777777" w:rsidR="00D01AA6" w:rsidRDefault="00000000">
            <w:pPr>
              <w:widowControl/>
              <w:spacing w:line="320" w:lineRule="exact"/>
              <w:jc w:val="left"/>
              <w:textAlignment w:val="center"/>
              <w:rPr>
                <w:rFonts w:ascii="宋体" w:hAnsi="宋体" w:cs="宋体"/>
                <w:sz w:val="24"/>
              </w:rPr>
            </w:pPr>
            <w:r>
              <w:rPr>
                <w:rFonts w:ascii="宋体" w:hAnsi="宋体" w:cs="宋体" w:hint="eastAsia"/>
                <w:kern w:val="0"/>
                <w:sz w:val="24"/>
              </w:rPr>
              <w:t>其他资金</w:t>
            </w:r>
          </w:p>
        </w:tc>
        <w:tc>
          <w:tcPr>
            <w:tcW w:w="2409" w:type="dxa"/>
            <w:tcBorders>
              <w:top w:val="single" w:sz="4" w:space="0" w:color="000000"/>
              <w:left w:val="single" w:sz="4" w:space="0" w:color="000000"/>
              <w:bottom w:val="single" w:sz="4" w:space="0" w:color="000000"/>
              <w:right w:val="single" w:sz="4" w:space="0" w:color="000000"/>
            </w:tcBorders>
            <w:vAlign w:val="center"/>
          </w:tcPr>
          <w:p w14:paraId="4602C459" w14:textId="77777777" w:rsidR="00D01AA6" w:rsidRDefault="00D01AA6">
            <w:pPr>
              <w:widowControl/>
              <w:spacing w:line="320" w:lineRule="exact"/>
              <w:jc w:val="center"/>
              <w:textAlignment w:val="center"/>
              <w:rPr>
                <w:rFonts w:ascii="宋体" w:hAnsi="宋体" w:cs="宋体"/>
                <w:sz w:val="24"/>
              </w:rPr>
            </w:pPr>
          </w:p>
        </w:tc>
      </w:tr>
      <w:tr w:rsidR="00D01AA6" w14:paraId="34297025" w14:textId="77777777">
        <w:tblPrEx>
          <w:tblCellMar>
            <w:top w:w="0" w:type="dxa"/>
            <w:bottom w:w="0" w:type="dxa"/>
          </w:tblCellMar>
        </w:tblPrEx>
        <w:trPr>
          <w:gridAfter w:val="1"/>
          <w:wAfter w:w="236" w:type="dxa"/>
          <w:trHeight w:val="217"/>
        </w:trPr>
        <w:tc>
          <w:tcPr>
            <w:tcW w:w="1976" w:type="dxa"/>
            <w:vMerge w:val="restart"/>
            <w:tcBorders>
              <w:top w:val="single" w:sz="4" w:space="0" w:color="000000"/>
              <w:left w:val="single" w:sz="4" w:space="0" w:color="000000"/>
              <w:bottom w:val="single" w:sz="4" w:space="0" w:color="000000"/>
              <w:right w:val="single" w:sz="4" w:space="0" w:color="000000"/>
            </w:tcBorders>
            <w:vAlign w:val="center"/>
          </w:tcPr>
          <w:p w14:paraId="1682730E" w14:textId="77777777" w:rsidR="00D01AA6" w:rsidRDefault="00000000">
            <w:pPr>
              <w:widowControl/>
              <w:spacing w:line="320" w:lineRule="exact"/>
              <w:jc w:val="center"/>
              <w:textAlignment w:val="center"/>
              <w:rPr>
                <w:rFonts w:ascii="宋体" w:hAnsi="宋体" w:cs="宋体"/>
                <w:kern w:val="0"/>
                <w:sz w:val="24"/>
              </w:rPr>
            </w:pPr>
            <w:r>
              <w:rPr>
                <w:rFonts w:ascii="宋体" w:hAnsi="宋体" w:cs="宋体" w:hint="eastAsia"/>
                <w:kern w:val="0"/>
                <w:sz w:val="24"/>
              </w:rPr>
              <w:t>年度总体目标</w:t>
            </w:r>
          </w:p>
          <w:p w14:paraId="25849A75" w14:textId="77777777" w:rsidR="00D01AA6"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完成情况</w:t>
            </w:r>
          </w:p>
        </w:tc>
        <w:tc>
          <w:tcPr>
            <w:tcW w:w="3966" w:type="dxa"/>
            <w:gridSpan w:val="3"/>
            <w:tcBorders>
              <w:top w:val="single" w:sz="4" w:space="0" w:color="000000"/>
              <w:left w:val="single" w:sz="4" w:space="0" w:color="000000"/>
              <w:bottom w:val="single" w:sz="4" w:space="0" w:color="000000"/>
              <w:right w:val="single" w:sz="4" w:space="0" w:color="000000"/>
            </w:tcBorders>
            <w:vAlign w:val="center"/>
          </w:tcPr>
          <w:p w14:paraId="6B264116" w14:textId="77777777" w:rsidR="00D01AA6"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预期目标</w:t>
            </w: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359BC6E1" w14:textId="77777777" w:rsidR="00D01AA6" w:rsidRDefault="00000000">
            <w:pPr>
              <w:widowControl/>
              <w:spacing w:line="320" w:lineRule="exact"/>
              <w:jc w:val="center"/>
              <w:textAlignment w:val="center"/>
              <w:rPr>
                <w:rFonts w:ascii="宋体" w:hAnsi="宋体" w:cs="宋体"/>
                <w:sz w:val="24"/>
              </w:rPr>
            </w:pPr>
            <w:r>
              <w:rPr>
                <w:rFonts w:ascii="宋体" w:hAnsi="宋体" w:cs="宋体" w:hint="eastAsia"/>
                <w:kern w:val="0"/>
                <w:sz w:val="24"/>
              </w:rPr>
              <w:t>目标实际完成情况</w:t>
            </w:r>
          </w:p>
        </w:tc>
      </w:tr>
      <w:tr w:rsidR="00D01AA6" w14:paraId="2F9CB484" w14:textId="77777777">
        <w:tblPrEx>
          <w:tblCellMar>
            <w:top w:w="0" w:type="dxa"/>
            <w:bottom w:w="0" w:type="dxa"/>
          </w:tblCellMar>
        </w:tblPrEx>
        <w:trPr>
          <w:gridAfter w:val="1"/>
          <w:wAfter w:w="236" w:type="dxa"/>
          <w:trHeight w:val="797"/>
        </w:trPr>
        <w:tc>
          <w:tcPr>
            <w:tcW w:w="1976" w:type="dxa"/>
            <w:vMerge/>
            <w:tcBorders>
              <w:top w:val="single" w:sz="4" w:space="0" w:color="000000"/>
              <w:left w:val="single" w:sz="4" w:space="0" w:color="000000"/>
              <w:bottom w:val="single" w:sz="4" w:space="0" w:color="000000"/>
              <w:right w:val="single" w:sz="4" w:space="0" w:color="000000"/>
            </w:tcBorders>
            <w:vAlign w:val="center"/>
          </w:tcPr>
          <w:p w14:paraId="34BFFD14" w14:textId="77777777" w:rsidR="00D01AA6" w:rsidRDefault="00D01AA6">
            <w:pPr>
              <w:spacing w:line="320" w:lineRule="exact"/>
              <w:jc w:val="center"/>
              <w:rPr>
                <w:rFonts w:ascii="宋体" w:hAnsi="宋体" w:cs="宋体"/>
                <w:sz w:val="24"/>
              </w:rPr>
            </w:pPr>
          </w:p>
        </w:tc>
        <w:tc>
          <w:tcPr>
            <w:tcW w:w="3966" w:type="dxa"/>
            <w:gridSpan w:val="3"/>
            <w:tcBorders>
              <w:top w:val="single" w:sz="4" w:space="0" w:color="000000"/>
              <w:left w:val="single" w:sz="4" w:space="0" w:color="000000"/>
              <w:bottom w:val="single" w:sz="4" w:space="0" w:color="000000"/>
              <w:right w:val="single" w:sz="4" w:space="0" w:color="000000"/>
            </w:tcBorders>
          </w:tcPr>
          <w:p w14:paraId="445CC69A" w14:textId="77777777" w:rsidR="00D01AA6" w:rsidRDefault="00D01AA6">
            <w:pPr>
              <w:widowControl/>
              <w:spacing w:line="320" w:lineRule="exact"/>
              <w:jc w:val="left"/>
              <w:textAlignment w:val="top"/>
              <w:rPr>
                <w:rFonts w:ascii="宋体" w:hAnsi="宋体" w:cs="宋体"/>
                <w:sz w:val="24"/>
              </w:rPr>
            </w:pPr>
          </w:p>
        </w:tc>
        <w:tc>
          <w:tcPr>
            <w:tcW w:w="3633" w:type="dxa"/>
            <w:gridSpan w:val="2"/>
            <w:tcBorders>
              <w:top w:val="single" w:sz="4" w:space="0" w:color="000000"/>
              <w:left w:val="single" w:sz="4" w:space="0" w:color="000000"/>
              <w:bottom w:val="single" w:sz="4" w:space="0" w:color="000000"/>
              <w:right w:val="single" w:sz="4" w:space="0" w:color="000000"/>
            </w:tcBorders>
          </w:tcPr>
          <w:p w14:paraId="363BCFB9" w14:textId="77777777" w:rsidR="00D01AA6" w:rsidRDefault="00D01AA6">
            <w:pPr>
              <w:widowControl/>
              <w:spacing w:line="320" w:lineRule="exact"/>
              <w:jc w:val="left"/>
              <w:textAlignment w:val="top"/>
              <w:rPr>
                <w:rFonts w:ascii="宋体" w:hAnsi="宋体" w:cs="宋体"/>
                <w:sz w:val="24"/>
              </w:rPr>
            </w:pPr>
          </w:p>
        </w:tc>
      </w:tr>
      <w:tr w:rsidR="00D01AA6" w14:paraId="0A216E32" w14:textId="77777777">
        <w:tblPrEx>
          <w:tblCellMar>
            <w:top w:w="0" w:type="dxa"/>
            <w:bottom w:w="0" w:type="dxa"/>
          </w:tblCellMar>
        </w:tblPrEx>
        <w:trPr>
          <w:gridAfter w:val="1"/>
          <w:wAfter w:w="236" w:type="dxa"/>
          <w:trHeight w:val="693"/>
        </w:trPr>
        <w:tc>
          <w:tcPr>
            <w:tcW w:w="1976" w:type="dxa"/>
            <w:vMerge w:val="restart"/>
            <w:tcBorders>
              <w:top w:val="single" w:sz="4" w:space="0" w:color="000000"/>
              <w:left w:val="single" w:sz="4" w:space="0" w:color="000000"/>
              <w:right w:val="single" w:sz="4" w:space="0" w:color="000000"/>
            </w:tcBorders>
            <w:vAlign w:val="center"/>
          </w:tcPr>
          <w:p w14:paraId="29C5EA4C" w14:textId="77777777" w:rsidR="00D01AA6"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年度绩效指标完成情况</w:t>
            </w:r>
          </w:p>
        </w:tc>
        <w:tc>
          <w:tcPr>
            <w:tcW w:w="1142" w:type="dxa"/>
            <w:tcBorders>
              <w:top w:val="single" w:sz="4" w:space="0" w:color="000000"/>
              <w:left w:val="nil"/>
              <w:bottom w:val="single" w:sz="4" w:space="0" w:color="000000"/>
              <w:right w:val="single" w:sz="4" w:space="0" w:color="000000"/>
            </w:tcBorders>
            <w:vAlign w:val="center"/>
          </w:tcPr>
          <w:p w14:paraId="28BA1DE2" w14:textId="77777777" w:rsidR="00D01AA6" w:rsidRDefault="0000000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一级</w:t>
            </w:r>
          </w:p>
          <w:p w14:paraId="07192A64" w14:textId="77777777" w:rsidR="00D01AA6"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center"/>
          </w:tcPr>
          <w:p w14:paraId="6B7BF626" w14:textId="77777777" w:rsidR="00D01AA6" w:rsidRDefault="0000000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二级</w:t>
            </w:r>
          </w:p>
          <w:p w14:paraId="0D9EF603" w14:textId="77777777" w:rsidR="00D01AA6"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center"/>
          </w:tcPr>
          <w:p w14:paraId="26507B47" w14:textId="77777777" w:rsidR="00D01AA6" w:rsidRDefault="00000000">
            <w:pPr>
              <w:widowControl/>
              <w:spacing w:line="320" w:lineRule="exact"/>
              <w:jc w:val="center"/>
              <w:textAlignment w:val="center"/>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三级</w:t>
            </w:r>
          </w:p>
          <w:p w14:paraId="78961062" w14:textId="77777777" w:rsidR="00D01AA6"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224" w:type="dxa"/>
            <w:tcBorders>
              <w:top w:val="single" w:sz="4" w:space="0" w:color="000000"/>
              <w:left w:val="single" w:sz="4" w:space="0" w:color="000000"/>
              <w:bottom w:val="single" w:sz="4" w:space="0" w:color="000000"/>
              <w:right w:val="single" w:sz="4" w:space="0" w:color="000000"/>
            </w:tcBorders>
            <w:vAlign w:val="center"/>
          </w:tcPr>
          <w:p w14:paraId="2FFF6548" w14:textId="77777777" w:rsidR="00D01AA6"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预期指标值</w:t>
            </w:r>
          </w:p>
        </w:tc>
        <w:tc>
          <w:tcPr>
            <w:tcW w:w="2409" w:type="dxa"/>
            <w:tcBorders>
              <w:top w:val="single" w:sz="4" w:space="0" w:color="000000"/>
              <w:left w:val="single" w:sz="4" w:space="0" w:color="000000"/>
              <w:bottom w:val="single" w:sz="4" w:space="0" w:color="000000"/>
              <w:right w:val="single" w:sz="4" w:space="0" w:color="000000"/>
            </w:tcBorders>
            <w:vAlign w:val="center"/>
          </w:tcPr>
          <w:p w14:paraId="73DD415C" w14:textId="77777777" w:rsidR="00D01AA6" w:rsidRDefault="00000000">
            <w:pPr>
              <w:widowControl/>
              <w:spacing w:line="320" w:lineRule="exact"/>
              <w:jc w:val="center"/>
              <w:textAlignment w:val="center"/>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实际完成指标值</w:t>
            </w:r>
          </w:p>
        </w:tc>
      </w:tr>
      <w:tr w:rsidR="00D01AA6" w14:paraId="25E9F8A2" w14:textId="77777777">
        <w:tblPrEx>
          <w:tblCellMar>
            <w:top w:w="0" w:type="dxa"/>
            <w:bottom w:w="0" w:type="dxa"/>
          </w:tblCellMar>
        </w:tblPrEx>
        <w:trPr>
          <w:gridAfter w:val="1"/>
          <w:wAfter w:w="236" w:type="dxa"/>
          <w:trHeight w:val="415"/>
        </w:trPr>
        <w:tc>
          <w:tcPr>
            <w:tcW w:w="1976" w:type="dxa"/>
            <w:vMerge/>
            <w:tcBorders>
              <w:left w:val="single" w:sz="4" w:space="0" w:color="000000"/>
              <w:right w:val="single" w:sz="4" w:space="0" w:color="000000"/>
            </w:tcBorders>
            <w:vAlign w:val="center"/>
          </w:tcPr>
          <w:p w14:paraId="3F8D2CBC"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14:paraId="25FA0775" w14:textId="77777777" w:rsidR="00D01AA6" w:rsidRDefault="0000000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完成</w:t>
            </w:r>
          </w:p>
          <w:p w14:paraId="03FCE135"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635" w:type="dxa"/>
            <w:tcBorders>
              <w:top w:val="single" w:sz="4" w:space="0" w:color="000000"/>
              <w:left w:val="single" w:sz="4" w:space="0" w:color="000000"/>
              <w:bottom w:val="single" w:sz="4" w:space="0" w:color="000000"/>
              <w:right w:val="single" w:sz="4" w:space="0" w:color="000000"/>
            </w:tcBorders>
            <w:vAlign w:val="bottom"/>
          </w:tcPr>
          <w:p w14:paraId="17586F98"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数量指标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36BDDCAE"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2CC7DD79"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0A8831C5"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7DD67846" w14:textId="77777777">
        <w:tblPrEx>
          <w:tblCellMar>
            <w:top w:w="0" w:type="dxa"/>
            <w:bottom w:w="0" w:type="dxa"/>
          </w:tblCellMar>
        </w:tblPrEx>
        <w:trPr>
          <w:gridAfter w:val="1"/>
          <w:wAfter w:w="236" w:type="dxa"/>
          <w:trHeight w:val="415"/>
        </w:trPr>
        <w:tc>
          <w:tcPr>
            <w:tcW w:w="1976" w:type="dxa"/>
            <w:vMerge/>
            <w:tcBorders>
              <w:left w:val="single" w:sz="4" w:space="0" w:color="000000"/>
              <w:right w:val="single" w:sz="4" w:space="0" w:color="000000"/>
            </w:tcBorders>
            <w:vAlign w:val="center"/>
          </w:tcPr>
          <w:p w14:paraId="1BF41CD2"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14:paraId="7F026014" w14:textId="77777777" w:rsidR="00D01AA6" w:rsidRDefault="00D01AA6">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14:paraId="192CDD86"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质量指标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693B13B3"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1A6FB8CF"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4B119D90"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5C1E615C" w14:textId="77777777">
        <w:tblPrEx>
          <w:tblCellMar>
            <w:top w:w="0" w:type="dxa"/>
            <w:bottom w:w="0" w:type="dxa"/>
          </w:tblCellMar>
        </w:tblPrEx>
        <w:trPr>
          <w:gridAfter w:val="1"/>
          <w:wAfter w:w="236" w:type="dxa"/>
          <w:trHeight w:val="415"/>
        </w:trPr>
        <w:tc>
          <w:tcPr>
            <w:tcW w:w="1976" w:type="dxa"/>
            <w:vMerge/>
            <w:tcBorders>
              <w:left w:val="single" w:sz="4" w:space="0" w:color="000000"/>
              <w:right w:val="single" w:sz="4" w:space="0" w:color="000000"/>
            </w:tcBorders>
            <w:vAlign w:val="center"/>
          </w:tcPr>
          <w:p w14:paraId="27D102E7"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14:paraId="186919EF" w14:textId="77777777" w:rsidR="00D01AA6" w:rsidRDefault="00D01AA6">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14:paraId="13149A47"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时效指标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186F4EF7"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013523EA"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6EAF74BD"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0686DB65" w14:textId="77777777">
        <w:tblPrEx>
          <w:tblCellMar>
            <w:top w:w="0" w:type="dxa"/>
            <w:bottom w:w="0" w:type="dxa"/>
          </w:tblCellMar>
        </w:tblPrEx>
        <w:trPr>
          <w:gridAfter w:val="1"/>
          <w:wAfter w:w="236" w:type="dxa"/>
          <w:trHeight w:val="480"/>
        </w:trPr>
        <w:tc>
          <w:tcPr>
            <w:tcW w:w="1976" w:type="dxa"/>
            <w:vMerge/>
            <w:tcBorders>
              <w:left w:val="single" w:sz="4" w:space="0" w:color="000000"/>
              <w:right w:val="single" w:sz="4" w:space="0" w:color="000000"/>
            </w:tcBorders>
            <w:vAlign w:val="center"/>
          </w:tcPr>
          <w:p w14:paraId="1489DE9E"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14:paraId="082DFEDC" w14:textId="77777777" w:rsidR="00D01AA6" w:rsidRDefault="00D01AA6">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14:paraId="6796FEE2"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成本指标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26BD1073"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3E2CD848"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59720717"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0C76ED93" w14:textId="77777777">
        <w:tblPrEx>
          <w:tblCellMar>
            <w:top w:w="0" w:type="dxa"/>
            <w:bottom w:w="0" w:type="dxa"/>
          </w:tblCellMar>
        </w:tblPrEx>
        <w:trPr>
          <w:gridAfter w:val="1"/>
          <w:wAfter w:w="236" w:type="dxa"/>
          <w:trHeight w:val="480"/>
        </w:trPr>
        <w:tc>
          <w:tcPr>
            <w:tcW w:w="1976" w:type="dxa"/>
            <w:vMerge/>
            <w:tcBorders>
              <w:left w:val="single" w:sz="4" w:space="0" w:color="000000"/>
              <w:right w:val="single" w:sz="4" w:space="0" w:color="000000"/>
            </w:tcBorders>
            <w:vAlign w:val="center"/>
          </w:tcPr>
          <w:p w14:paraId="7E9B6397"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val="restart"/>
            <w:tcBorders>
              <w:top w:val="single" w:sz="4" w:space="0" w:color="000000"/>
              <w:left w:val="single" w:sz="4" w:space="0" w:color="000000"/>
              <w:bottom w:val="single" w:sz="4" w:space="0" w:color="000000"/>
              <w:right w:val="single" w:sz="4" w:space="0" w:color="000000"/>
            </w:tcBorders>
            <w:vAlign w:val="center"/>
          </w:tcPr>
          <w:p w14:paraId="2A489703"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效益</w:t>
            </w:r>
            <w:r>
              <w:rPr>
                <w:rFonts w:ascii="仿宋_GB2312" w:eastAsia="仿宋_GB2312" w:hAnsi="仿宋_GB2312" w:cs="仿宋_GB2312" w:hint="eastAsia"/>
                <w:kern w:val="0"/>
                <w:sz w:val="28"/>
                <w:szCs w:val="28"/>
              </w:rPr>
              <w:br/>
              <w:t>指标</w:t>
            </w:r>
          </w:p>
        </w:tc>
        <w:tc>
          <w:tcPr>
            <w:tcW w:w="1635" w:type="dxa"/>
            <w:tcBorders>
              <w:top w:val="single" w:sz="4" w:space="0" w:color="000000"/>
              <w:left w:val="single" w:sz="4" w:space="0" w:color="000000"/>
              <w:bottom w:val="single" w:sz="4" w:space="0" w:color="000000"/>
              <w:right w:val="single" w:sz="4" w:space="0" w:color="000000"/>
            </w:tcBorders>
            <w:vAlign w:val="bottom"/>
          </w:tcPr>
          <w:p w14:paraId="3DD60B02"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经济效益  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5771190D"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28DAF2F2"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72A704FA"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7E64E64E" w14:textId="77777777">
        <w:tblPrEx>
          <w:tblCellMar>
            <w:top w:w="0" w:type="dxa"/>
            <w:bottom w:w="0" w:type="dxa"/>
          </w:tblCellMar>
        </w:tblPrEx>
        <w:trPr>
          <w:gridAfter w:val="1"/>
          <w:wAfter w:w="236" w:type="dxa"/>
          <w:trHeight w:val="480"/>
        </w:trPr>
        <w:tc>
          <w:tcPr>
            <w:tcW w:w="1976" w:type="dxa"/>
            <w:vMerge/>
            <w:tcBorders>
              <w:left w:val="single" w:sz="4" w:space="0" w:color="000000"/>
              <w:right w:val="single" w:sz="4" w:space="0" w:color="000000"/>
            </w:tcBorders>
            <w:vAlign w:val="center"/>
          </w:tcPr>
          <w:p w14:paraId="4984D287"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14:paraId="078D72BE" w14:textId="77777777" w:rsidR="00D01AA6" w:rsidRDefault="00D01AA6">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14:paraId="58779380"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社会效益  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7E628357"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2455ABC0"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05AAA411"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3C98AF70" w14:textId="77777777">
        <w:tblPrEx>
          <w:tblCellMar>
            <w:top w:w="0" w:type="dxa"/>
            <w:bottom w:w="0" w:type="dxa"/>
          </w:tblCellMar>
        </w:tblPrEx>
        <w:trPr>
          <w:gridAfter w:val="1"/>
          <w:wAfter w:w="236" w:type="dxa"/>
          <w:trHeight w:val="577"/>
        </w:trPr>
        <w:tc>
          <w:tcPr>
            <w:tcW w:w="1976" w:type="dxa"/>
            <w:vMerge/>
            <w:tcBorders>
              <w:left w:val="single" w:sz="4" w:space="0" w:color="000000"/>
              <w:right w:val="single" w:sz="4" w:space="0" w:color="000000"/>
            </w:tcBorders>
            <w:vAlign w:val="center"/>
          </w:tcPr>
          <w:p w14:paraId="7FE43F22"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14:paraId="725704D8" w14:textId="77777777" w:rsidR="00D01AA6" w:rsidRDefault="00D01AA6">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14:paraId="0F61B84D" w14:textId="77777777" w:rsidR="00D01AA6" w:rsidRDefault="00000000">
            <w:pPr>
              <w:widowControl/>
              <w:spacing w:line="320" w:lineRule="exact"/>
              <w:ind w:leftChars="87" w:left="463" w:hangingChars="100" w:hanging="280"/>
              <w:jc w:val="left"/>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生态效益  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32E80FC1"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0BB13848"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28C8DB7A"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5839DF00" w14:textId="77777777">
        <w:tblPrEx>
          <w:tblCellMar>
            <w:top w:w="0" w:type="dxa"/>
            <w:bottom w:w="0" w:type="dxa"/>
          </w:tblCellMar>
        </w:tblPrEx>
        <w:trPr>
          <w:gridAfter w:val="1"/>
          <w:wAfter w:w="236" w:type="dxa"/>
          <w:trHeight w:val="480"/>
        </w:trPr>
        <w:tc>
          <w:tcPr>
            <w:tcW w:w="1976" w:type="dxa"/>
            <w:vMerge/>
            <w:tcBorders>
              <w:left w:val="single" w:sz="4" w:space="0" w:color="000000"/>
              <w:right w:val="single" w:sz="4" w:space="0" w:color="000000"/>
            </w:tcBorders>
            <w:vAlign w:val="center"/>
          </w:tcPr>
          <w:p w14:paraId="488F268A" w14:textId="77777777" w:rsidR="00D01AA6" w:rsidRDefault="00D01AA6">
            <w:pPr>
              <w:spacing w:line="320" w:lineRule="exact"/>
              <w:jc w:val="center"/>
              <w:rPr>
                <w:rFonts w:ascii="仿宋_GB2312" w:eastAsia="仿宋_GB2312" w:hAnsi="仿宋_GB2312" w:cs="仿宋_GB2312"/>
                <w:sz w:val="28"/>
                <w:szCs w:val="28"/>
              </w:rPr>
            </w:pPr>
          </w:p>
        </w:tc>
        <w:tc>
          <w:tcPr>
            <w:tcW w:w="1142" w:type="dxa"/>
            <w:vMerge/>
            <w:tcBorders>
              <w:top w:val="single" w:sz="4" w:space="0" w:color="000000"/>
              <w:left w:val="single" w:sz="4" w:space="0" w:color="000000"/>
              <w:bottom w:val="single" w:sz="4" w:space="0" w:color="000000"/>
              <w:right w:val="single" w:sz="4" w:space="0" w:color="000000"/>
            </w:tcBorders>
            <w:vAlign w:val="bottom"/>
          </w:tcPr>
          <w:p w14:paraId="36C66795" w14:textId="77777777" w:rsidR="00D01AA6" w:rsidRDefault="00D01AA6">
            <w:pPr>
              <w:spacing w:line="320" w:lineRule="exact"/>
              <w:jc w:val="center"/>
              <w:rPr>
                <w:rFonts w:ascii="仿宋_GB2312" w:eastAsia="仿宋_GB2312" w:hAnsi="仿宋_GB2312" w:cs="仿宋_GB2312"/>
                <w:sz w:val="28"/>
                <w:szCs w:val="28"/>
              </w:rPr>
            </w:pPr>
          </w:p>
        </w:tc>
        <w:tc>
          <w:tcPr>
            <w:tcW w:w="1635" w:type="dxa"/>
            <w:tcBorders>
              <w:top w:val="single" w:sz="4" w:space="0" w:color="000000"/>
              <w:left w:val="single" w:sz="4" w:space="0" w:color="000000"/>
              <w:bottom w:val="single" w:sz="4" w:space="0" w:color="000000"/>
              <w:right w:val="single" w:sz="4" w:space="0" w:color="000000"/>
            </w:tcBorders>
            <w:vAlign w:val="bottom"/>
          </w:tcPr>
          <w:p w14:paraId="748084BC"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可持续影响 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017116B0"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6A80111C"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4E1D61B3"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r w:rsidR="00D01AA6" w14:paraId="2B5A005C" w14:textId="77777777">
        <w:tblPrEx>
          <w:tblCellMar>
            <w:top w:w="0" w:type="dxa"/>
            <w:bottom w:w="0" w:type="dxa"/>
          </w:tblCellMar>
        </w:tblPrEx>
        <w:trPr>
          <w:gridAfter w:val="1"/>
          <w:wAfter w:w="236" w:type="dxa"/>
          <w:trHeight w:val="530"/>
        </w:trPr>
        <w:tc>
          <w:tcPr>
            <w:tcW w:w="1976" w:type="dxa"/>
            <w:vMerge/>
            <w:tcBorders>
              <w:left w:val="single" w:sz="4" w:space="0" w:color="000000"/>
              <w:bottom w:val="single" w:sz="4" w:space="0" w:color="000000"/>
              <w:right w:val="single" w:sz="4" w:space="0" w:color="000000"/>
            </w:tcBorders>
            <w:vAlign w:val="center"/>
          </w:tcPr>
          <w:p w14:paraId="3F2CEE13" w14:textId="77777777" w:rsidR="00D01AA6" w:rsidRDefault="00D01AA6">
            <w:pPr>
              <w:spacing w:line="320" w:lineRule="exact"/>
              <w:jc w:val="center"/>
              <w:rPr>
                <w:rFonts w:ascii="仿宋_GB2312" w:eastAsia="仿宋_GB2312" w:hAnsi="仿宋_GB2312" w:cs="仿宋_GB2312"/>
                <w:sz w:val="28"/>
                <w:szCs w:val="28"/>
              </w:rPr>
            </w:pPr>
          </w:p>
        </w:tc>
        <w:tc>
          <w:tcPr>
            <w:tcW w:w="1142" w:type="dxa"/>
            <w:tcBorders>
              <w:top w:val="single" w:sz="4" w:space="0" w:color="000000"/>
              <w:left w:val="single" w:sz="4" w:space="0" w:color="000000"/>
              <w:bottom w:val="single" w:sz="4" w:space="0" w:color="000000"/>
              <w:right w:val="single" w:sz="4" w:space="0" w:color="000000"/>
            </w:tcBorders>
            <w:vAlign w:val="bottom"/>
          </w:tcPr>
          <w:p w14:paraId="39B61808"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满意</w:t>
            </w:r>
            <w:r>
              <w:rPr>
                <w:rFonts w:ascii="仿宋_GB2312" w:eastAsia="仿宋_GB2312" w:hAnsi="仿宋_GB2312" w:cs="仿宋_GB2312" w:hint="eastAsia"/>
                <w:kern w:val="0"/>
                <w:sz w:val="28"/>
                <w:szCs w:val="28"/>
              </w:rPr>
              <w:br/>
              <w:t>度指标</w:t>
            </w:r>
          </w:p>
        </w:tc>
        <w:tc>
          <w:tcPr>
            <w:tcW w:w="1635" w:type="dxa"/>
            <w:tcBorders>
              <w:top w:val="single" w:sz="4" w:space="0" w:color="000000"/>
              <w:left w:val="single" w:sz="4" w:space="0" w:color="000000"/>
              <w:bottom w:val="single" w:sz="4" w:space="0" w:color="000000"/>
              <w:right w:val="single" w:sz="4" w:space="0" w:color="000000"/>
            </w:tcBorders>
            <w:vAlign w:val="bottom"/>
          </w:tcPr>
          <w:p w14:paraId="19C4CF8A" w14:textId="77777777" w:rsidR="00D01AA6" w:rsidRDefault="00000000">
            <w:pPr>
              <w:widowControl/>
              <w:spacing w:line="320" w:lineRule="exact"/>
              <w:jc w:val="center"/>
              <w:textAlignment w:val="bottom"/>
              <w:rPr>
                <w:rFonts w:ascii="仿宋_GB2312" w:eastAsia="仿宋_GB2312" w:hAnsi="仿宋_GB2312" w:cs="仿宋_GB2312"/>
                <w:kern w:val="0"/>
                <w:sz w:val="28"/>
                <w:szCs w:val="28"/>
              </w:rPr>
            </w:pPr>
            <w:r>
              <w:rPr>
                <w:rFonts w:ascii="仿宋_GB2312" w:eastAsia="仿宋_GB2312" w:hAnsi="仿宋_GB2312" w:cs="仿宋_GB2312" w:hint="eastAsia"/>
                <w:kern w:val="0"/>
                <w:sz w:val="28"/>
                <w:szCs w:val="28"/>
              </w:rPr>
              <w:t>满意度</w:t>
            </w:r>
          </w:p>
          <w:p w14:paraId="2E5A9270" w14:textId="77777777" w:rsidR="00D01AA6" w:rsidRDefault="00000000">
            <w:pPr>
              <w:widowControl/>
              <w:spacing w:line="320" w:lineRule="exact"/>
              <w:jc w:val="center"/>
              <w:textAlignment w:val="bottom"/>
              <w:rPr>
                <w:rFonts w:ascii="仿宋_GB2312" w:eastAsia="仿宋_GB2312" w:hAnsi="仿宋_GB2312" w:cs="仿宋_GB2312"/>
                <w:sz w:val="28"/>
                <w:szCs w:val="28"/>
              </w:rPr>
            </w:pPr>
            <w:r>
              <w:rPr>
                <w:rFonts w:ascii="仿宋_GB2312" w:eastAsia="仿宋_GB2312" w:hAnsi="仿宋_GB2312" w:cs="仿宋_GB2312" w:hint="eastAsia"/>
                <w:kern w:val="0"/>
                <w:sz w:val="28"/>
                <w:szCs w:val="28"/>
              </w:rPr>
              <w:t>指标</w:t>
            </w:r>
          </w:p>
        </w:tc>
        <w:tc>
          <w:tcPr>
            <w:tcW w:w="1189" w:type="dxa"/>
            <w:tcBorders>
              <w:top w:val="single" w:sz="4" w:space="0" w:color="000000"/>
              <w:left w:val="single" w:sz="4" w:space="0" w:color="000000"/>
              <w:bottom w:val="single" w:sz="4" w:space="0" w:color="000000"/>
              <w:right w:val="single" w:sz="4" w:space="0" w:color="000000"/>
            </w:tcBorders>
            <w:vAlign w:val="bottom"/>
          </w:tcPr>
          <w:p w14:paraId="63B09A18"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1224" w:type="dxa"/>
            <w:tcBorders>
              <w:top w:val="single" w:sz="4" w:space="0" w:color="000000"/>
              <w:left w:val="single" w:sz="4" w:space="0" w:color="000000"/>
              <w:bottom w:val="single" w:sz="4" w:space="0" w:color="000000"/>
              <w:right w:val="single" w:sz="4" w:space="0" w:color="000000"/>
            </w:tcBorders>
            <w:vAlign w:val="bottom"/>
          </w:tcPr>
          <w:p w14:paraId="09146888"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c>
          <w:tcPr>
            <w:tcW w:w="2409" w:type="dxa"/>
            <w:tcBorders>
              <w:top w:val="single" w:sz="4" w:space="0" w:color="000000"/>
              <w:left w:val="single" w:sz="4" w:space="0" w:color="000000"/>
              <w:bottom w:val="single" w:sz="4" w:space="0" w:color="000000"/>
              <w:right w:val="single" w:sz="4" w:space="0" w:color="000000"/>
            </w:tcBorders>
            <w:vAlign w:val="bottom"/>
          </w:tcPr>
          <w:p w14:paraId="6EFAECC4" w14:textId="77777777" w:rsidR="00D01AA6" w:rsidRDefault="00D01AA6">
            <w:pPr>
              <w:widowControl/>
              <w:spacing w:line="320" w:lineRule="exact"/>
              <w:jc w:val="center"/>
              <w:textAlignment w:val="bottom"/>
              <w:rPr>
                <w:rFonts w:ascii="仿宋_GB2312" w:eastAsia="仿宋_GB2312" w:hAnsi="仿宋_GB2312" w:cs="仿宋_GB2312"/>
                <w:sz w:val="28"/>
                <w:szCs w:val="28"/>
              </w:rPr>
            </w:pPr>
          </w:p>
        </w:tc>
      </w:tr>
    </w:tbl>
    <w:p w14:paraId="36CC854A" w14:textId="77777777" w:rsidR="00D01AA6" w:rsidRDefault="00000000">
      <w:pPr>
        <w:widowControl/>
        <w:adjustRightInd w:val="0"/>
        <w:snapToGrid w:val="0"/>
        <w:spacing w:line="580" w:lineRule="exact"/>
        <w:ind w:firstLineChars="200" w:firstLine="640"/>
        <w:contextualSpacing/>
        <w:jc w:val="left"/>
        <w:rPr>
          <w:rFonts w:ascii="仿宋_GB2312" w:eastAsia="仿宋_GB2312" w:hAnsi="宋体" w:cs="宋体"/>
          <w:kern w:val="0"/>
          <w:sz w:val="32"/>
          <w:szCs w:val="32"/>
          <w:shd w:val="clear" w:color="auto" w:fill="FFFFFF"/>
          <w:lang w:val="zh-CN"/>
        </w:rPr>
      </w:pPr>
      <w:r>
        <w:rPr>
          <w:rFonts w:ascii="仿宋_GB2312" w:eastAsia="仿宋_GB2312" w:hAnsi="宋体" w:cs="宋体" w:hint="eastAsia"/>
          <w:kern w:val="0"/>
          <w:sz w:val="32"/>
          <w:szCs w:val="32"/>
          <w:shd w:val="clear" w:color="auto" w:fill="FFFFFF"/>
          <w:lang w:val="zh-CN"/>
        </w:rPr>
        <w:t>附表：（本表无数据）</w:t>
      </w:r>
    </w:p>
    <w:p w14:paraId="5F2246BE" w14:textId="77777777" w:rsidR="00D01AA6" w:rsidRDefault="00000000">
      <w:pPr>
        <w:widowControl/>
        <w:adjustRightInd w:val="0"/>
        <w:snapToGrid w:val="0"/>
        <w:spacing w:line="580" w:lineRule="exact"/>
        <w:contextualSpacing/>
        <w:jc w:val="left"/>
      </w:pPr>
      <w:r>
        <w:rPr>
          <w:rFonts w:ascii="仿宋_GB2312" w:eastAsia="仿宋_GB2312" w:hAnsi="宋体" w:cs="宋体" w:hint="eastAsia"/>
          <w:kern w:val="0"/>
          <w:sz w:val="32"/>
          <w:szCs w:val="32"/>
          <w:shd w:val="clear" w:color="auto" w:fill="FFFFFF"/>
        </w:rPr>
        <w:lastRenderedPageBreak/>
        <w:t>（注：有两个及以上100万元以上（含）特定目标类部门预算项目的，需分别开展绩效目标自评并填写附表）</w:t>
      </w:r>
    </w:p>
    <w:p w14:paraId="4100BF37" w14:textId="77777777" w:rsidR="00D01AA6" w:rsidRDefault="00D01AA6">
      <w:pPr>
        <w:spacing w:line="580" w:lineRule="exact"/>
        <w:rPr>
          <w:rStyle w:val="10"/>
          <w:rFonts w:ascii="黑体" w:eastAsia="黑体" w:hAnsi="黑体"/>
          <w:b w:val="0"/>
        </w:rPr>
      </w:pPr>
    </w:p>
    <w:p w14:paraId="54B472CD" w14:textId="77777777" w:rsidR="00D01AA6" w:rsidRDefault="00000000">
      <w:pPr>
        <w:widowControl/>
        <w:jc w:val="left"/>
        <w:rPr>
          <w:rStyle w:val="10"/>
          <w:rFonts w:ascii="黑体" w:eastAsia="黑体" w:hAnsi="黑体"/>
          <w:b w:val="0"/>
        </w:rPr>
      </w:pPr>
      <w:r>
        <w:rPr>
          <w:rStyle w:val="10"/>
          <w:rFonts w:ascii="黑体" w:eastAsia="黑体" w:hAnsi="黑体"/>
          <w:b w:val="0"/>
        </w:rPr>
        <w:br w:type="page"/>
      </w:r>
    </w:p>
    <w:p w14:paraId="29A509CD" w14:textId="77777777" w:rsidR="00D01AA6" w:rsidRDefault="00000000">
      <w:pPr>
        <w:spacing w:line="600" w:lineRule="exact"/>
        <w:jc w:val="center"/>
        <w:outlineLvl w:val="0"/>
        <w:rPr>
          <w:rFonts w:ascii="仿宋" w:eastAsia="仿宋" w:hAnsi="仿宋"/>
        </w:rPr>
      </w:pPr>
      <w:bookmarkStart w:id="83" w:name="_Toc15396618"/>
      <w:bookmarkStart w:id="84" w:name="_Toc19947"/>
      <w:r>
        <w:rPr>
          <w:rFonts w:ascii="黑体" w:eastAsia="黑体" w:hAnsi="黑体" w:hint="eastAsia"/>
          <w:sz w:val="44"/>
          <w:szCs w:val="44"/>
        </w:rPr>
        <w:t>第</w:t>
      </w:r>
      <w:r>
        <w:rPr>
          <w:rStyle w:val="10"/>
          <w:rFonts w:ascii="黑体" w:eastAsia="黑体" w:hAnsi="黑体" w:hint="eastAsia"/>
          <w:b w:val="0"/>
        </w:rPr>
        <w:t>五部分 附表</w:t>
      </w:r>
      <w:bookmarkStart w:id="85" w:name="_Toc15396619"/>
      <w:bookmarkEnd w:id="80"/>
      <w:bookmarkEnd w:id="83"/>
      <w:bookmarkEnd w:id="84"/>
    </w:p>
    <w:p w14:paraId="3B75C375" w14:textId="77777777" w:rsidR="00D01AA6" w:rsidRDefault="00000000">
      <w:pPr>
        <w:pStyle w:val="2"/>
        <w:rPr>
          <w:rFonts w:ascii="仿宋" w:eastAsia="仿宋" w:hAnsi="仿宋"/>
        </w:rPr>
      </w:pPr>
      <w:bookmarkStart w:id="86" w:name="_Toc27900"/>
      <w:r>
        <w:rPr>
          <w:rFonts w:ascii="仿宋" w:eastAsia="仿宋" w:hAnsi="仿宋" w:hint="eastAsia"/>
          <w:b w:val="0"/>
        </w:rPr>
        <w:t>一、收</w:t>
      </w:r>
      <w:r>
        <w:rPr>
          <w:rStyle w:val="20"/>
          <w:rFonts w:ascii="仿宋" w:eastAsia="仿宋" w:hAnsi="仿宋" w:hint="eastAsia"/>
        </w:rPr>
        <w:t>入支出决算总表</w:t>
      </w:r>
      <w:bookmarkEnd w:id="85"/>
      <w:bookmarkEnd w:id="86"/>
    </w:p>
    <w:p w14:paraId="2FD82C02" w14:textId="77777777" w:rsidR="00D01AA6" w:rsidRDefault="00000000">
      <w:pPr>
        <w:pStyle w:val="2"/>
        <w:rPr>
          <w:rFonts w:ascii="仿宋" w:eastAsia="仿宋" w:hAnsi="仿宋"/>
        </w:rPr>
      </w:pPr>
      <w:bookmarkStart w:id="87" w:name="_Toc15396620"/>
      <w:bookmarkStart w:id="88" w:name="_Toc17950"/>
      <w:r>
        <w:rPr>
          <w:rFonts w:ascii="仿宋" w:eastAsia="仿宋" w:hAnsi="仿宋" w:hint="eastAsia"/>
          <w:b w:val="0"/>
        </w:rPr>
        <w:t>二、收</w:t>
      </w:r>
      <w:r>
        <w:rPr>
          <w:rStyle w:val="20"/>
          <w:rFonts w:ascii="仿宋" w:eastAsia="仿宋" w:hAnsi="仿宋" w:hint="eastAsia"/>
        </w:rPr>
        <w:t>入决算表</w:t>
      </w:r>
      <w:bookmarkEnd w:id="87"/>
      <w:bookmarkEnd w:id="88"/>
    </w:p>
    <w:p w14:paraId="131D0DAA" w14:textId="77777777" w:rsidR="00D01AA6" w:rsidRDefault="00000000">
      <w:pPr>
        <w:pStyle w:val="2"/>
        <w:rPr>
          <w:rFonts w:ascii="仿宋" w:eastAsia="仿宋" w:hAnsi="仿宋"/>
        </w:rPr>
      </w:pPr>
      <w:bookmarkStart w:id="89" w:name="_Toc15396621"/>
      <w:bookmarkStart w:id="90" w:name="_Toc14566"/>
      <w:r>
        <w:rPr>
          <w:rStyle w:val="20"/>
          <w:rFonts w:ascii="仿宋" w:eastAsia="仿宋" w:hAnsi="仿宋" w:hint="eastAsia"/>
        </w:rPr>
        <w:t>三、</w:t>
      </w:r>
      <w:r>
        <w:rPr>
          <w:rFonts w:ascii="仿宋" w:eastAsia="仿宋" w:hAnsi="仿宋" w:hint="eastAsia"/>
          <w:b w:val="0"/>
        </w:rPr>
        <w:t>支</w:t>
      </w:r>
      <w:r>
        <w:rPr>
          <w:rStyle w:val="20"/>
          <w:rFonts w:ascii="仿宋" w:eastAsia="仿宋" w:hAnsi="仿宋" w:hint="eastAsia"/>
        </w:rPr>
        <w:t>出决算表</w:t>
      </w:r>
      <w:bookmarkEnd w:id="89"/>
      <w:bookmarkEnd w:id="90"/>
    </w:p>
    <w:p w14:paraId="5CA1EA6E" w14:textId="77777777" w:rsidR="00D01AA6" w:rsidRDefault="00000000">
      <w:pPr>
        <w:pStyle w:val="2"/>
        <w:rPr>
          <w:rFonts w:ascii="仿宋" w:eastAsia="仿宋" w:hAnsi="仿宋"/>
          <w:b w:val="0"/>
        </w:rPr>
      </w:pPr>
      <w:bookmarkStart w:id="91" w:name="_Toc15396622"/>
      <w:bookmarkStart w:id="92" w:name="_Toc17017"/>
      <w:r>
        <w:rPr>
          <w:rStyle w:val="20"/>
          <w:rFonts w:ascii="仿宋" w:eastAsia="仿宋" w:hAnsi="仿宋" w:hint="eastAsia"/>
        </w:rPr>
        <w:t>四、</w:t>
      </w:r>
      <w:r>
        <w:rPr>
          <w:rFonts w:ascii="仿宋" w:eastAsia="仿宋" w:hAnsi="仿宋" w:hint="eastAsia"/>
          <w:b w:val="0"/>
        </w:rPr>
        <w:t>财</w:t>
      </w:r>
      <w:r>
        <w:rPr>
          <w:rStyle w:val="20"/>
          <w:rFonts w:ascii="仿宋" w:eastAsia="仿宋" w:hAnsi="仿宋" w:hint="eastAsia"/>
        </w:rPr>
        <w:t>政拨款收入支出决算总表</w:t>
      </w:r>
      <w:bookmarkEnd w:id="91"/>
      <w:bookmarkEnd w:id="92"/>
    </w:p>
    <w:p w14:paraId="4AAB563A" w14:textId="77777777" w:rsidR="00D01AA6" w:rsidRDefault="00000000">
      <w:pPr>
        <w:pStyle w:val="2"/>
        <w:rPr>
          <w:rStyle w:val="20"/>
          <w:rFonts w:ascii="仿宋" w:eastAsia="仿宋" w:hAnsi="仿宋"/>
        </w:rPr>
      </w:pPr>
      <w:bookmarkStart w:id="93" w:name="_Toc15396623"/>
      <w:bookmarkStart w:id="94" w:name="_Toc10926"/>
      <w:r>
        <w:rPr>
          <w:rStyle w:val="20"/>
          <w:rFonts w:ascii="仿宋" w:eastAsia="仿宋" w:hAnsi="仿宋" w:hint="eastAsia"/>
        </w:rPr>
        <w:t>五、</w:t>
      </w:r>
      <w:r>
        <w:rPr>
          <w:rFonts w:ascii="仿宋" w:eastAsia="仿宋" w:hAnsi="仿宋" w:hint="eastAsia"/>
          <w:b w:val="0"/>
        </w:rPr>
        <w:t>财</w:t>
      </w:r>
      <w:r>
        <w:rPr>
          <w:rStyle w:val="20"/>
          <w:rFonts w:ascii="仿宋" w:eastAsia="仿宋" w:hAnsi="仿宋" w:hint="eastAsia"/>
        </w:rPr>
        <w:t>政拨款支出决算明细表</w:t>
      </w:r>
      <w:bookmarkStart w:id="95" w:name="_Toc15396624"/>
      <w:bookmarkEnd w:id="93"/>
      <w:bookmarkEnd w:id="94"/>
    </w:p>
    <w:p w14:paraId="2A17C7DD" w14:textId="77777777" w:rsidR="00D01AA6" w:rsidRDefault="00000000">
      <w:pPr>
        <w:pStyle w:val="2"/>
        <w:rPr>
          <w:rFonts w:ascii="仿宋" w:eastAsia="仿宋" w:hAnsi="仿宋"/>
        </w:rPr>
      </w:pPr>
      <w:bookmarkStart w:id="96" w:name="_Toc9011"/>
      <w:r>
        <w:rPr>
          <w:rStyle w:val="20"/>
          <w:rFonts w:ascii="仿宋" w:eastAsia="仿宋" w:hAnsi="仿宋" w:hint="eastAsia"/>
        </w:rPr>
        <w:t>六、</w:t>
      </w:r>
      <w:r>
        <w:rPr>
          <w:rFonts w:ascii="仿宋" w:eastAsia="仿宋" w:hAnsi="仿宋" w:hint="eastAsia"/>
          <w:b w:val="0"/>
        </w:rPr>
        <w:t>一</w:t>
      </w:r>
      <w:r>
        <w:rPr>
          <w:rStyle w:val="20"/>
          <w:rFonts w:ascii="仿宋" w:eastAsia="仿宋" w:hAnsi="仿宋" w:hint="eastAsia"/>
        </w:rPr>
        <w:t>般公共预算财政拨款支出决算表</w:t>
      </w:r>
      <w:bookmarkEnd w:id="95"/>
      <w:bookmarkEnd w:id="96"/>
    </w:p>
    <w:p w14:paraId="6D5B2620" w14:textId="77777777" w:rsidR="00D01AA6" w:rsidRDefault="00000000">
      <w:pPr>
        <w:pStyle w:val="2"/>
        <w:rPr>
          <w:rFonts w:ascii="仿宋" w:eastAsia="仿宋" w:hAnsi="仿宋"/>
        </w:rPr>
      </w:pPr>
      <w:bookmarkStart w:id="97" w:name="_Toc15396625"/>
      <w:bookmarkStart w:id="98" w:name="_Toc9837"/>
      <w:r>
        <w:rPr>
          <w:rStyle w:val="20"/>
          <w:rFonts w:ascii="仿宋" w:eastAsia="仿宋" w:hAnsi="仿宋" w:hint="eastAsia"/>
        </w:rPr>
        <w:t>七、</w:t>
      </w:r>
      <w:r>
        <w:rPr>
          <w:rFonts w:ascii="仿宋" w:eastAsia="仿宋" w:hAnsi="仿宋" w:hint="eastAsia"/>
          <w:b w:val="0"/>
        </w:rPr>
        <w:t>一</w:t>
      </w:r>
      <w:r>
        <w:rPr>
          <w:rStyle w:val="20"/>
          <w:rFonts w:ascii="仿宋" w:eastAsia="仿宋" w:hAnsi="仿宋" w:hint="eastAsia"/>
        </w:rPr>
        <w:t>般公共预算财政拨款支出决算明细表</w:t>
      </w:r>
      <w:bookmarkEnd w:id="97"/>
      <w:bookmarkEnd w:id="98"/>
    </w:p>
    <w:p w14:paraId="5CD28658" w14:textId="77777777" w:rsidR="00D01AA6" w:rsidRDefault="00000000">
      <w:pPr>
        <w:pStyle w:val="2"/>
        <w:rPr>
          <w:rFonts w:ascii="仿宋" w:eastAsia="仿宋" w:hAnsi="仿宋"/>
        </w:rPr>
      </w:pPr>
      <w:bookmarkStart w:id="99" w:name="_Toc15396626"/>
      <w:bookmarkStart w:id="100" w:name="_Toc5587"/>
      <w:r>
        <w:rPr>
          <w:rStyle w:val="20"/>
          <w:rFonts w:ascii="仿宋" w:eastAsia="仿宋" w:hAnsi="仿宋" w:hint="eastAsia"/>
        </w:rPr>
        <w:t>八、</w:t>
      </w:r>
      <w:r>
        <w:rPr>
          <w:rFonts w:ascii="仿宋" w:eastAsia="仿宋" w:hAnsi="仿宋" w:hint="eastAsia"/>
          <w:b w:val="0"/>
        </w:rPr>
        <w:t>一</w:t>
      </w:r>
      <w:r>
        <w:rPr>
          <w:rStyle w:val="20"/>
          <w:rFonts w:ascii="仿宋" w:eastAsia="仿宋" w:hAnsi="仿宋" w:hint="eastAsia"/>
        </w:rPr>
        <w:t>般公共预算财政拨款基本支出决算表</w:t>
      </w:r>
      <w:bookmarkEnd w:id="99"/>
      <w:bookmarkEnd w:id="100"/>
    </w:p>
    <w:p w14:paraId="1378CD64" w14:textId="77777777" w:rsidR="00D01AA6" w:rsidRDefault="00000000">
      <w:pPr>
        <w:pStyle w:val="2"/>
        <w:rPr>
          <w:rFonts w:ascii="仿宋" w:eastAsia="仿宋" w:hAnsi="仿宋"/>
        </w:rPr>
      </w:pPr>
      <w:bookmarkStart w:id="101" w:name="_Toc15396627"/>
      <w:bookmarkStart w:id="102" w:name="_Toc24081"/>
      <w:r>
        <w:rPr>
          <w:rStyle w:val="20"/>
          <w:rFonts w:ascii="仿宋" w:eastAsia="仿宋" w:hAnsi="仿宋" w:hint="eastAsia"/>
        </w:rPr>
        <w:t>九、</w:t>
      </w:r>
      <w:r>
        <w:rPr>
          <w:rFonts w:ascii="仿宋" w:eastAsia="仿宋" w:hAnsi="仿宋" w:hint="eastAsia"/>
          <w:b w:val="0"/>
        </w:rPr>
        <w:t>一</w:t>
      </w:r>
      <w:r>
        <w:rPr>
          <w:rStyle w:val="20"/>
          <w:rFonts w:ascii="仿宋" w:eastAsia="仿宋" w:hAnsi="仿宋" w:hint="eastAsia"/>
        </w:rPr>
        <w:t>般公共预算财政拨款项目支出决算表</w:t>
      </w:r>
      <w:bookmarkEnd w:id="101"/>
      <w:bookmarkEnd w:id="102"/>
    </w:p>
    <w:p w14:paraId="1C6C2CA1" w14:textId="77777777" w:rsidR="00D01AA6" w:rsidRDefault="00000000">
      <w:pPr>
        <w:pStyle w:val="2"/>
        <w:rPr>
          <w:rFonts w:ascii="仿宋" w:eastAsia="仿宋" w:hAnsi="仿宋"/>
        </w:rPr>
      </w:pPr>
      <w:bookmarkStart w:id="103" w:name="_Toc15396628"/>
      <w:bookmarkStart w:id="104" w:name="_Toc31985"/>
      <w:r>
        <w:rPr>
          <w:rStyle w:val="20"/>
          <w:rFonts w:ascii="仿宋" w:eastAsia="仿宋" w:hAnsi="仿宋" w:hint="eastAsia"/>
        </w:rPr>
        <w:t>十、</w:t>
      </w:r>
      <w:r>
        <w:rPr>
          <w:rFonts w:ascii="仿宋" w:eastAsia="仿宋" w:hAnsi="仿宋" w:hint="eastAsia"/>
          <w:b w:val="0"/>
        </w:rPr>
        <w:t>一</w:t>
      </w:r>
      <w:r>
        <w:rPr>
          <w:rStyle w:val="20"/>
          <w:rFonts w:ascii="仿宋" w:eastAsia="仿宋" w:hAnsi="仿宋" w:hint="eastAsia"/>
        </w:rPr>
        <w:t>般公共预算财政拨款“三公”经费支出决算表</w:t>
      </w:r>
      <w:bookmarkEnd w:id="103"/>
      <w:bookmarkEnd w:id="104"/>
    </w:p>
    <w:p w14:paraId="7CF8D1E9" w14:textId="77777777" w:rsidR="00D01AA6" w:rsidRDefault="00000000">
      <w:pPr>
        <w:pStyle w:val="2"/>
        <w:rPr>
          <w:rFonts w:ascii="仿宋" w:eastAsia="仿宋" w:hAnsi="仿宋"/>
        </w:rPr>
      </w:pPr>
      <w:bookmarkStart w:id="105" w:name="_Toc15396629"/>
      <w:bookmarkStart w:id="106" w:name="_Toc18612"/>
      <w:r>
        <w:rPr>
          <w:rStyle w:val="20"/>
          <w:rFonts w:ascii="仿宋" w:eastAsia="仿宋" w:hAnsi="仿宋" w:hint="eastAsia"/>
        </w:rPr>
        <w:t>十一、</w:t>
      </w:r>
      <w:r>
        <w:rPr>
          <w:rFonts w:ascii="仿宋" w:eastAsia="仿宋" w:hAnsi="仿宋" w:hint="eastAsia"/>
          <w:b w:val="0"/>
        </w:rPr>
        <w:t>政</w:t>
      </w:r>
      <w:r>
        <w:rPr>
          <w:rStyle w:val="20"/>
          <w:rFonts w:ascii="仿宋" w:eastAsia="仿宋" w:hAnsi="仿宋" w:hint="eastAsia"/>
        </w:rPr>
        <w:t>府性基金预算财政拨款收入支出决算表</w:t>
      </w:r>
      <w:bookmarkEnd w:id="105"/>
      <w:bookmarkEnd w:id="106"/>
    </w:p>
    <w:p w14:paraId="7099C50A" w14:textId="77777777" w:rsidR="00D01AA6" w:rsidRDefault="00000000">
      <w:pPr>
        <w:pStyle w:val="2"/>
        <w:rPr>
          <w:rFonts w:ascii="仿宋" w:eastAsia="仿宋" w:hAnsi="仿宋"/>
        </w:rPr>
      </w:pPr>
      <w:bookmarkStart w:id="107" w:name="_Toc15396630"/>
      <w:bookmarkStart w:id="108" w:name="_Toc32437"/>
      <w:r>
        <w:rPr>
          <w:rStyle w:val="20"/>
          <w:rFonts w:ascii="仿宋" w:eastAsia="仿宋" w:hAnsi="仿宋" w:hint="eastAsia"/>
        </w:rPr>
        <w:t>十二、</w:t>
      </w:r>
      <w:r>
        <w:rPr>
          <w:rFonts w:ascii="仿宋" w:eastAsia="仿宋" w:hAnsi="仿宋" w:hint="eastAsia"/>
          <w:b w:val="0"/>
        </w:rPr>
        <w:t>政</w:t>
      </w:r>
      <w:r>
        <w:rPr>
          <w:rStyle w:val="20"/>
          <w:rFonts w:ascii="仿宋" w:eastAsia="仿宋" w:hAnsi="仿宋" w:hint="eastAsia"/>
        </w:rPr>
        <w:t>府性基金预算财政拨款“三公”经费支出决算表</w:t>
      </w:r>
      <w:bookmarkEnd w:id="107"/>
      <w:bookmarkEnd w:id="108"/>
    </w:p>
    <w:p w14:paraId="5628F1F7" w14:textId="77777777" w:rsidR="00D01AA6" w:rsidRDefault="00000000">
      <w:pPr>
        <w:pStyle w:val="2"/>
        <w:rPr>
          <w:rStyle w:val="20"/>
          <w:rFonts w:ascii="仿宋" w:eastAsia="仿宋" w:hAnsi="仿宋"/>
        </w:rPr>
      </w:pPr>
      <w:bookmarkStart w:id="109" w:name="_Toc15396631"/>
      <w:bookmarkStart w:id="110" w:name="_Toc6531"/>
      <w:r>
        <w:rPr>
          <w:rStyle w:val="20"/>
          <w:rFonts w:ascii="仿宋" w:eastAsia="仿宋" w:hAnsi="仿宋" w:hint="eastAsia"/>
        </w:rPr>
        <w:t>十三、</w:t>
      </w:r>
      <w:r>
        <w:rPr>
          <w:rFonts w:ascii="仿宋" w:eastAsia="仿宋" w:hAnsi="仿宋" w:hint="eastAsia"/>
          <w:b w:val="0"/>
        </w:rPr>
        <w:t>国</w:t>
      </w:r>
      <w:r>
        <w:rPr>
          <w:rStyle w:val="20"/>
          <w:rFonts w:ascii="仿宋" w:eastAsia="仿宋" w:hAnsi="仿宋" w:hint="eastAsia"/>
        </w:rPr>
        <w:t>有资本经营预算财政拨款收入支出决算表</w:t>
      </w:r>
      <w:bookmarkEnd w:id="109"/>
      <w:bookmarkEnd w:id="110"/>
    </w:p>
    <w:p w14:paraId="7BD768C5" w14:textId="77777777" w:rsidR="00D01AA6" w:rsidRDefault="00000000">
      <w:pPr>
        <w:rPr>
          <w:rFonts w:eastAsia="仿宋"/>
        </w:rPr>
      </w:pPr>
      <w:r>
        <w:rPr>
          <w:rStyle w:val="20"/>
          <w:rFonts w:ascii="仿宋" w:eastAsia="仿宋" w:hAnsi="仿宋" w:hint="eastAsia"/>
          <w:b w:val="0"/>
          <w:bCs w:val="0"/>
        </w:rPr>
        <w:t>十四、国有资本经营预算财政拨款支出决算表</w:t>
      </w:r>
    </w:p>
    <w:sectPr w:rsidR="00D01AA6">
      <w:headerReference w:type="default" r:id="rId15"/>
      <w:footerReference w:type="default" r:id="rId16"/>
      <w:pgSz w:w="11906" w:h="16838"/>
      <w:pgMar w:top="1440" w:right="1800" w:bottom="1440" w:left="1800" w:header="851" w:footer="992" w:gutter="0"/>
      <w:pgNumType w:start="1"/>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01AE" w14:textId="77777777" w:rsidR="00C66238" w:rsidRDefault="00C66238">
      <w:r>
        <w:separator/>
      </w:r>
    </w:p>
  </w:endnote>
  <w:endnote w:type="continuationSeparator" w:id="0">
    <w:p w14:paraId="4A9ABA1C" w14:textId="77777777" w:rsidR="00C66238" w:rsidRDefault="00C66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1" w:usb1="080E0000" w:usb2="00000000" w:usb3="00000000" w:csb0="00040000" w:csb1="00000000"/>
  </w:font>
  <w:font w:name="楷体_GB2312">
    <w:altName w:val="微软雅黑"/>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500C" w14:textId="77777777" w:rsidR="00D01AA6" w:rsidRDefault="00000000">
    <w:pPr>
      <w:pStyle w:val="a7"/>
      <w:jc w:val="center"/>
    </w:pPr>
    <w:r>
      <w:fldChar w:fldCharType="begin"/>
    </w:r>
    <w:r>
      <w:instrText>PAGE   \* MERGEFORMAT</w:instrText>
    </w:r>
    <w:r>
      <w:fldChar w:fldCharType="separate"/>
    </w:r>
    <w:r>
      <w:t>2</w:t>
    </w:r>
    <w:r>
      <w:rPr>
        <w:lang w:val="zh-CN"/>
      </w:rPr>
      <w:fldChar w:fldCharType="end"/>
    </w:r>
  </w:p>
  <w:p w14:paraId="7FFEBF7C" w14:textId="77777777" w:rsidR="00D01AA6" w:rsidRDefault="00D01AA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07D71" w14:textId="77777777" w:rsidR="00C66238" w:rsidRDefault="00C66238">
      <w:r>
        <w:separator/>
      </w:r>
    </w:p>
  </w:footnote>
  <w:footnote w:type="continuationSeparator" w:id="0">
    <w:p w14:paraId="67D742D4" w14:textId="77777777" w:rsidR="00C66238" w:rsidRDefault="00C662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9FBA8" w14:textId="77777777" w:rsidR="00D01AA6" w:rsidRDefault="00D01AA6">
    <w:pPr>
      <w:pStyle w:val="a9"/>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F652CEC"/>
    <w:multiLevelType w:val="singleLevel"/>
    <w:tmpl w:val="CF652CEC"/>
    <w:lvl w:ilvl="0">
      <w:start w:val="9"/>
      <w:numFmt w:val="chineseCounting"/>
      <w:suff w:val="nothing"/>
      <w:lvlText w:val="%1、"/>
      <w:lvlJc w:val="left"/>
      <w:rPr>
        <w:rFonts w:hint="eastAsia"/>
      </w:rPr>
    </w:lvl>
  </w:abstractNum>
  <w:abstractNum w:abstractNumId="1" w15:restartNumberingAfterBreak="0">
    <w:nsid w:val="E2FA047D"/>
    <w:multiLevelType w:val="singleLevel"/>
    <w:tmpl w:val="E2FA047D"/>
    <w:lvl w:ilvl="0">
      <w:start w:val="3"/>
      <w:numFmt w:val="chineseCounting"/>
      <w:suff w:val="space"/>
      <w:lvlText w:val="第%1部分"/>
      <w:lvlJc w:val="left"/>
      <w:rPr>
        <w:rFonts w:hint="eastAsia"/>
      </w:rPr>
    </w:lvl>
  </w:abstractNum>
  <w:abstractNum w:abstractNumId="2" w15:restartNumberingAfterBreak="0">
    <w:nsid w:val="1272550B"/>
    <w:multiLevelType w:val="multilevel"/>
    <w:tmpl w:val="1272550B"/>
    <w:lvl w:ilvl="0">
      <w:start w:val="1"/>
      <w:numFmt w:val="japaneseCounting"/>
      <w:lvlText w:val="%1、"/>
      <w:lvlJc w:val="left"/>
      <w:pPr>
        <w:ind w:left="1360" w:hanging="720"/>
      </w:pPr>
      <w:rPr>
        <w:rFonts w:hint="default"/>
        <w:b w:val="0"/>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16cid:durableId="1880824930">
    <w:abstractNumId w:val="2"/>
  </w:num>
  <w:num w:numId="2" w16cid:durableId="1343049925">
    <w:abstractNumId w:val="0"/>
  </w:num>
  <w:num w:numId="3" w16cid:durableId="1536041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A6"/>
    <w:rsid w:val="002B6C56"/>
    <w:rsid w:val="00C66238"/>
    <w:rsid w:val="00D01A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54ED98BE"/>
  <w15:docId w15:val="{64C287CC-A8E8-4586-B0BD-F266C3F098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unhideWhenUsed="1" w:qFormat="1"/>
    <w:lsdException w:name="heading 3"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qFormat="1"/>
    <w:lsdException w:name="footer" w:uiPriority="99"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99"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9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qFormat="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Cambria" w:hAnsi="Cambria" w:cs="黑体"/>
      <w:b/>
      <w:bCs/>
      <w:sz w:val="32"/>
      <w:szCs w:val="32"/>
    </w:rPr>
  </w:style>
  <w:style w:type="paragraph" w:styleId="3">
    <w:name w:val="heading 3"/>
    <w:basedOn w:val="a"/>
    <w:next w:val="a"/>
    <w:link w:val="30"/>
    <w:uiPriority w:val="9"/>
    <w:unhideWhenUsed/>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semiHidden/>
    <w:unhideWhenUsed/>
    <w:pPr>
      <w:ind w:leftChars="1200" w:left="2520"/>
    </w:pPr>
  </w:style>
  <w:style w:type="paragraph" w:styleId="a3">
    <w:name w:val="Body Text"/>
    <w:basedOn w:val="a"/>
    <w:link w:val="a4"/>
    <w:uiPriority w:val="99"/>
    <w:qFormat/>
    <w:pPr>
      <w:spacing w:beforeLines="30"/>
    </w:pPr>
    <w:rPr>
      <w:rFonts w:ascii="仿宋_GB2312" w:eastAsia="仿宋_GB2312"/>
      <w:kern w:val="0"/>
      <w:sz w:val="30"/>
    </w:rPr>
  </w:style>
  <w:style w:type="paragraph" w:styleId="TOC5">
    <w:name w:val="toc 5"/>
    <w:basedOn w:val="a"/>
    <w:next w:val="a"/>
    <w:uiPriority w:val="39"/>
    <w:semiHidden/>
    <w:unhideWhenUsed/>
    <w:pPr>
      <w:ind w:leftChars="800" w:left="1680"/>
    </w:pPr>
  </w:style>
  <w:style w:type="paragraph" w:styleId="TOC3">
    <w:name w:val="toc 3"/>
    <w:basedOn w:val="a"/>
    <w:next w:val="a"/>
    <w:uiPriority w:val="39"/>
    <w:unhideWhenUsed/>
    <w:qFormat/>
    <w:pPr>
      <w:ind w:leftChars="400" w:left="840"/>
    </w:pPr>
  </w:style>
  <w:style w:type="paragraph" w:styleId="TOC8">
    <w:name w:val="toc 8"/>
    <w:basedOn w:val="a"/>
    <w:next w:val="a"/>
    <w:uiPriority w:val="39"/>
    <w:semiHidden/>
    <w:unhideWhenUsed/>
    <w:pPr>
      <w:ind w:leftChars="1400" w:left="2940"/>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qFormat/>
    <w:pPr>
      <w:tabs>
        <w:tab w:val="center" w:pos="4153"/>
        <w:tab w:val="right" w:pos="8306"/>
      </w:tabs>
      <w:snapToGrid w:val="0"/>
      <w:jc w:val="left"/>
    </w:pPr>
    <w:rPr>
      <w:rFonts w:ascii="Calibri" w:hAnsi="Calibri"/>
      <w:kern w:val="0"/>
      <w:sz w:val="18"/>
      <w:szCs w:val="18"/>
    </w:rPr>
  </w:style>
  <w:style w:type="paragraph" w:styleId="a9">
    <w:name w:val="header"/>
    <w:basedOn w:val="a"/>
    <w:link w:val="aa"/>
    <w:uiPriority w:val="99"/>
    <w:semiHidden/>
    <w:qFormat/>
    <w:pPr>
      <w:pBdr>
        <w:bottom w:val="single" w:sz="6" w:space="1" w:color="auto"/>
      </w:pBdr>
      <w:tabs>
        <w:tab w:val="center" w:pos="4153"/>
        <w:tab w:val="right" w:pos="8306"/>
      </w:tabs>
      <w:snapToGrid w:val="0"/>
      <w:jc w:val="center"/>
    </w:pPr>
    <w:rPr>
      <w:rFonts w:ascii="Calibri" w:hAnsi="Calibri"/>
      <w:kern w:val="0"/>
      <w:sz w:val="18"/>
      <w:szCs w:val="18"/>
    </w:rPr>
  </w:style>
  <w:style w:type="paragraph" w:styleId="TOC1">
    <w:name w:val="toc 1"/>
    <w:basedOn w:val="a"/>
    <w:next w:val="a"/>
    <w:uiPriority w:val="39"/>
    <w:unhideWhenUsed/>
    <w:qFormat/>
    <w:pPr>
      <w:tabs>
        <w:tab w:val="right" w:leader="dot" w:pos="8296"/>
      </w:tabs>
      <w:spacing w:before="93"/>
      <w:jc w:val="center"/>
    </w:pPr>
    <w:rPr>
      <w:rFonts w:ascii="仿宋" w:eastAsia="仿宋" w:hAnsi="仿宋"/>
      <w:sz w:val="28"/>
      <w:szCs w:val="28"/>
    </w:rPr>
  </w:style>
  <w:style w:type="paragraph" w:styleId="TOC4">
    <w:name w:val="toc 4"/>
    <w:basedOn w:val="a"/>
    <w:next w:val="a"/>
    <w:uiPriority w:val="39"/>
    <w:semiHidden/>
    <w:unhideWhenUsed/>
    <w:pPr>
      <w:ind w:leftChars="600" w:left="1260"/>
    </w:pPr>
  </w:style>
  <w:style w:type="paragraph" w:styleId="TOC6">
    <w:name w:val="toc 6"/>
    <w:basedOn w:val="a"/>
    <w:next w:val="a"/>
    <w:uiPriority w:val="39"/>
    <w:semiHidden/>
    <w:unhideWhenUsed/>
    <w:pPr>
      <w:ind w:leftChars="1000" w:left="2100"/>
    </w:pPr>
  </w:style>
  <w:style w:type="paragraph" w:styleId="TOC2">
    <w:name w:val="toc 2"/>
    <w:basedOn w:val="a"/>
    <w:next w:val="a"/>
    <w:uiPriority w:val="39"/>
    <w:unhideWhenUsed/>
    <w:qFormat/>
    <w:pPr>
      <w:ind w:leftChars="200" w:left="420"/>
    </w:pPr>
  </w:style>
  <w:style w:type="paragraph" w:styleId="TOC9">
    <w:name w:val="toc 9"/>
    <w:basedOn w:val="a"/>
    <w:next w:val="a"/>
    <w:uiPriority w:val="39"/>
    <w:semiHidden/>
    <w:unhideWhenUsed/>
    <w:pPr>
      <w:ind w:leftChars="1600" w:left="3360"/>
    </w:pPr>
  </w:style>
  <w:style w:type="character" w:styleId="ab">
    <w:name w:val="Strong"/>
    <w:basedOn w:val="a0"/>
    <w:uiPriority w:val="99"/>
    <w:qFormat/>
    <w:rPr>
      <w:b/>
    </w:rPr>
  </w:style>
  <w:style w:type="character" w:styleId="ac">
    <w:name w:val="Hyperlink"/>
    <w:basedOn w:val="a0"/>
    <w:uiPriority w:val="99"/>
    <w:unhideWhenUsed/>
    <w:qFormat/>
    <w:rPr>
      <w:color w:val="0000FF"/>
      <w:u w:val="single"/>
    </w:rPr>
  </w:style>
  <w:style w:type="paragraph" w:customStyle="1" w:styleId="Default">
    <w:name w:val="Default"/>
    <w:uiPriority w:val="99"/>
    <w:qFormat/>
    <w:pPr>
      <w:widowControl w:val="0"/>
      <w:autoSpaceDE w:val="0"/>
      <w:autoSpaceDN w:val="0"/>
      <w:adjustRightInd w:val="0"/>
    </w:pPr>
    <w:rPr>
      <w:rFonts w:ascii="仿宋" w:eastAsia="仿宋" w:hAnsi="Calibri" w:cs="仿宋"/>
      <w:color w:val="000000"/>
      <w:sz w:val="24"/>
      <w:szCs w:val="24"/>
    </w:rPr>
  </w:style>
  <w:style w:type="paragraph" w:customStyle="1" w:styleId="11">
    <w:name w:val="列出段落1"/>
    <w:basedOn w:val="a"/>
    <w:uiPriority w:val="34"/>
    <w:qFormat/>
    <w:pPr>
      <w:ind w:firstLineChars="200" w:firstLine="420"/>
    </w:pPr>
  </w:style>
  <w:style w:type="paragraph" w:customStyle="1" w:styleId="TOC10">
    <w:name w:val="TOC 标题1"/>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paragraph" w:customStyle="1" w:styleId="TOC20">
    <w:name w:val="TOC 标题2"/>
    <w:basedOn w:val="1"/>
    <w:next w:val="a"/>
    <w:uiPriority w:val="39"/>
    <w:unhideWhenUsed/>
    <w:qFormat/>
    <w:pPr>
      <w:widowControl/>
      <w:spacing w:before="480" w:after="0" w:line="276" w:lineRule="auto"/>
      <w:jc w:val="left"/>
      <w:outlineLvl w:val="9"/>
    </w:pPr>
    <w:rPr>
      <w:rFonts w:ascii="Cambria" w:hAnsi="Cambria" w:cs="黑体"/>
      <w:color w:val="365F90"/>
      <w:kern w:val="0"/>
      <w:sz w:val="28"/>
      <w:szCs w:val="28"/>
    </w:rPr>
  </w:style>
  <w:style w:type="character" w:customStyle="1" w:styleId="HeaderChar">
    <w:name w:val="Header Char"/>
    <w:basedOn w:val="a0"/>
    <w:uiPriority w:val="99"/>
    <w:semiHidden/>
    <w:qFormat/>
    <w:rPr>
      <w:rFonts w:ascii="Times New Roman" w:hAnsi="Times New Roman"/>
      <w:sz w:val="18"/>
      <w:szCs w:val="18"/>
    </w:rPr>
  </w:style>
  <w:style w:type="character" w:customStyle="1" w:styleId="aa">
    <w:name w:val="页眉 字符"/>
    <w:link w:val="a9"/>
    <w:uiPriority w:val="99"/>
    <w:semiHidden/>
    <w:qFormat/>
    <w:locked/>
    <w:rPr>
      <w:sz w:val="18"/>
    </w:rPr>
  </w:style>
  <w:style w:type="character" w:customStyle="1" w:styleId="FooterChar">
    <w:name w:val="Footer Char"/>
    <w:basedOn w:val="a0"/>
    <w:uiPriority w:val="99"/>
    <w:semiHidden/>
    <w:qFormat/>
    <w:rPr>
      <w:rFonts w:ascii="Times New Roman" w:hAnsi="Times New Roman"/>
      <w:sz w:val="18"/>
      <w:szCs w:val="18"/>
    </w:rPr>
  </w:style>
  <w:style w:type="character" w:customStyle="1" w:styleId="a8">
    <w:name w:val="页脚 字符"/>
    <w:link w:val="a7"/>
    <w:uiPriority w:val="99"/>
    <w:qFormat/>
    <w:locked/>
    <w:rPr>
      <w:sz w:val="18"/>
    </w:rPr>
  </w:style>
  <w:style w:type="character" w:customStyle="1" w:styleId="BodyTextChar">
    <w:name w:val="Body Text Char"/>
    <w:basedOn w:val="a0"/>
    <w:uiPriority w:val="99"/>
    <w:semiHidden/>
    <w:qFormat/>
    <w:rPr>
      <w:rFonts w:ascii="Times New Roman" w:hAnsi="Times New Roman"/>
      <w:szCs w:val="24"/>
    </w:rPr>
  </w:style>
  <w:style w:type="character" w:customStyle="1" w:styleId="a4">
    <w:name w:val="正文文本 字符"/>
    <w:link w:val="a3"/>
    <w:uiPriority w:val="99"/>
    <w:qFormat/>
    <w:locked/>
    <w:rPr>
      <w:rFonts w:ascii="仿宋_GB2312" w:eastAsia="仿宋_GB2312" w:hAnsi="Times New Roman"/>
      <w:sz w:val="24"/>
    </w:rPr>
  </w:style>
  <w:style w:type="character" w:customStyle="1" w:styleId="10">
    <w:name w:val="标题 1 字符"/>
    <w:basedOn w:val="a0"/>
    <w:link w:val="1"/>
    <w:uiPriority w:val="9"/>
    <w:qFormat/>
    <w:rPr>
      <w:rFonts w:ascii="Times New Roman" w:hAnsi="Times New Roman"/>
      <w:b/>
      <w:bCs/>
      <w:kern w:val="44"/>
      <w:sz w:val="44"/>
      <w:szCs w:val="44"/>
    </w:rPr>
  </w:style>
  <w:style w:type="character" w:customStyle="1" w:styleId="20">
    <w:name w:val="标题 2 字符"/>
    <w:basedOn w:val="a0"/>
    <w:link w:val="2"/>
    <w:uiPriority w:val="9"/>
    <w:qFormat/>
    <w:rPr>
      <w:rFonts w:ascii="Cambria" w:eastAsia="宋体" w:hAnsi="Cambria" w:cs="黑体"/>
      <w:b/>
      <w:bCs/>
      <w:kern w:val="2"/>
      <w:sz w:val="32"/>
      <w:szCs w:val="32"/>
    </w:rPr>
  </w:style>
  <w:style w:type="character" w:customStyle="1" w:styleId="a6">
    <w:name w:val="批注框文本 字符"/>
    <w:basedOn w:val="a0"/>
    <w:link w:val="a5"/>
    <w:uiPriority w:val="99"/>
    <w:semiHidden/>
    <w:qFormat/>
    <w:rPr>
      <w:rFonts w:ascii="Times New Roman" w:hAnsi="Times New Roman"/>
      <w:kern w:val="2"/>
      <w:sz w:val="18"/>
      <w:szCs w:val="18"/>
    </w:rPr>
  </w:style>
  <w:style w:type="character" w:customStyle="1" w:styleId="30">
    <w:name w:val="标题 3 字符"/>
    <w:basedOn w:val="a0"/>
    <w:link w:val="3"/>
    <w:uiPriority w:val="9"/>
    <w:qFormat/>
    <w:rPr>
      <w:rFonts w:ascii="Times New Roman" w:hAnsi="Times New Roman"/>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54</Pages>
  <Words>3369</Words>
  <Characters>19209</Characters>
  <Application>Microsoft Office Word</Application>
  <DocSecurity>0</DocSecurity>
  <Lines>160</Lines>
  <Paragraphs>45</Paragraphs>
  <ScaleCrop>false</ScaleCrop>
  <Company>四川省财政厅</Company>
  <LinksUpToDate>false</LinksUpToDate>
  <CharactersWithSpaces>22533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花猫 大</cp:lastModifiedBy>
  <cp:revision>2</cp:revision>
  <cp:lastPrinted>2022-09-05T04:07:00Z</cp:lastPrinted>
  <dcterms:created xsi:type="dcterms:W3CDTF">2023-09-27T10:10:00Z</dcterms:created>
  <dcterms:modified xsi:type="dcterms:W3CDTF">2023-09-27T10:10:00Z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2052-9.1.0.4555</vt:lpwstr>
  </property>
</Properties>
</file>